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0375" w14:textId="77777777" w:rsidR="002C17FE" w:rsidRPr="00330CD1" w:rsidRDefault="002C17FE" w:rsidP="002C17FE">
      <w:pPr>
        <w:pBdr>
          <w:bottom w:val="single" w:sz="8" w:space="4" w:color="FF388C"/>
        </w:pBdr>
        <w:spacing w:before="120" w:after="120" w:line="276" w:lineRule="auto"/>
        <w:contextualSpacing/>
        <w:jc w:val="center"/>
        <w:rPr>
          <w:rFonts w:ascii="Calibri" w:eastAsia="Times New Roman" w:hAnsi="Calibri" w:cs="Times New Roman"/>
          <w:b/>
          <w:bCs/>
          <w:color w:val="671623" w:themeColor="accent5" w:themeShade="80"/>
          <w:kern w:val="32"/>
          <w:sz w:val="36"/>
          <w:szCs w:val="36"/>
        </w:rPr>
      </w:pPr>
      <w:r w:rsidRPr="00330CD1">
        <w:rPr>
          <w:rFonts w:ascii="Calibri" w:eastAsia="Times New Roman" w:hAnsi="Calibri" w:cs="Times New Roman"/>
          <w:b/>
          <w:bCs/>
          <w:color w:val="671623" w:themeColor="accent5" w:themeShade="80"/>
          <w:kern w:val="32"/>
          <w:sz w:val="36"/>
          <w:szCs w:val="36"/>
        </w:rPr>
        <w:t>CYP IAPT Midlands Collaborative</w:t>
      </w:r>
    </w:p>
    <w:p w14:paraId="4C087140" w14:textId="6C6595FF" w:rsidR="002C17FE" w:rsidRPr="00330CD1" w:rsidRDefault="002C17FE" w:rsidP="002C17FE">
      <w:pPr>
        <w:spacing w:after="200" w:line="276" w:lineRule="auto"/>
        <w:jc w:val="center"/>
        <w:rPr>
          <w:rFonts w:ascii="Calibri" w:eastAsia="Calibri" w:hAnsi="Calibri" w:cs="Times New Roman"/>
          <w:b/>
          <w:color w:val="671623" w:themeColor="accent5" w:themeShade="80"/>
          <w:sz w:val="36"/>
          <w:szCs w:val="28"/>
        </w:rPr>
      </w:pPr>
      <w:r>
        <w:rPr>
          <w:rFonts w:ascii="Calibri" w:eastAsia="Calibri" w:hAnsi="Calibri" w:cs="Times New Roman"/>
          <w:b/>
          <w:color w:val="671623" w:themeColor="accent5" w:themeShade="80"/>
          <w:sz w:val="36"/>
          <w:szCs w:val="28"/>
        </w:rPr>
        <w:t xml:space="preserve">Learning Event: Self-Referral Readiness </w:t>
      </w:r>
      <w:r w:rsidR="00D21326">
        <w:rPr>
          <w:rFonts w:ascii="Calibri" w:eastAsia="Calibri" w:hAnsi="Calibri" w:cs="Times New Roman"/>
          <w:b/>
          <w:color w:val="671623" w:themeColor="accent5" w:themeShade="80"/>
          <w:sz w:val="36"/>
          <w:szCs w:val="28"/>
        </w:rPr>
        <w:t xml:space="preserve">Document </w:t>
      </w:r>
      <w:r>
        <w:rPr>
          <w:rFonts w:ascii="Calibri" w:eastAsia="Calibri" w:hAnsi="Calibri" w:cs="Times New Roman"/>
          <w:b/>
          <w:color w:val="671623" w:themeColor="accent5" w:themeShade="80"/>
          <w:sz w:val="36"/>
          <w:szCs w:val="28"/>
        </w:rPr>
        <w:t xml:space="preserve"> </w:t>
      </w:r>
      <w:r w:rsidRPr="00330CD1">
        <w:rPr>
          <w:rFonts w:ascii="Calibri" w:eastAsia="Calibri" w:hAnsi="Calibri" w:cs="Times New Roman"/>
          <w:b/>
          <w:color w:val="671623" w:themeColor="accent5" w:themeShade="80"/>
          <w:sz w:val="36"/>
          <w:szCs w:val="28"/>
        </w:rPr>
        <w:t xml:space="preserve">  </w:t>
      </w:r>
    </w:p>
    <w:p w14:paraId="7C507D71" w14:textId="7560E223" w:rsidR="0070282F" w:rsidRDefault="00745E92">
      <w:r>
        <w:t xml:space="preserve">The purpose of this document is to provide </w:t>
      </w:r>
      <w:r w:rsidR="00D21326">
        <w:t xml:space="preserve">framework </w:t>
      </w:r>
      <w:r>
        <w:t xml:space="preserve">for sites </w:t>
      </w:r>
      <w:r w:rsidR="002C17FE">
        <w:t xml:space="preserve">considering </w:t>
      </w:r>
      <w:r>
        <w:t xml:space="preserve">implementing </w:t>
      </w:r>
      <w:r w:rsidR="002C17FE">
        <w:t xml:space="preserve">a </w:t>
      </w:r>
      <w:r w:rsidR="007F4743">
        <w:t>self-referral</w:t>
      </w:r>
      <w:r w:rsidR="002C17FE">
        <w:t xml:space="preserve"> process to understand how prepared their system and services are currently</w:t>
      </w:r>
      <w:r>
        <w:t xml:space="preserve">. The </w:t>
      </w:r>
      <w:r w:rsidR="002C17FE">
        <w:t xml:space="preserve">aim is that this </w:t>
      </w:r>
      <w:r w:rsidR="00D21326">
        <w:t xml:space="preserve">document </w:t>
      </w:r>
      <w:r>
        <w:t xml:space="preserve">can be used </w:t>
      </w:r>
      <w:r w:rsidR="00C27160">
        <w:t>as an assessment</w:t>
      </w:r>
      <w:r>
        <w:t xml:space="preserve"> to support implementation plans, and has been developed to enable baseline</w:t>
      </w:r>
      <w:r w:rsidR="0070282F">
        <w:t xml:space="preserve"> and</w:t>
      </w:r>
      <w:r w:rsidR="00E84FC6">
        <w:t xml:space="preserve"> subsequent</w:t>
      </w:r>
      <w:r w:rsidR="0070282F">
        <w:t xml:space="preserve"> follow-up</w:t>
      </w:r>
      <w:r w:rsidR="00E84FC6">
        <w:t xml:space="preserve"> </w:t>
      </w:r>
      <w:r>
        <w:t>measurement</w:t>
      </w:r>
      <w:r w:rsidR="002C17FE">
        <w:t xml:space="preserve"> in implementing a </w:t>
      </w:r>
      <w:r w:rsidR="007F4743">
        <w:t>self-referral</w:t>
      </w:r>
      <w:r w:rsidR="002C17FE">
        <w:t xml:space="preserve"> process.</w:t>
      </w:r>
      <w:r>
        <w:t xml:space="preserve"> </w:t>
      </w:r>
    </w:p>
    <w:p w14:paraId="2EFA3DA9" w14:textId="77777777" w:rsidR="0070282F" w:rsidRDefault="0070282F"/>
    <w:p w14:paraId="5944B6AC" w14:textId="6067BEDB" w:rsidR="0070282F" w:rsidRDefault="00DF433F">
      <w:r>
        <w:t>Component</w:t>
      </w:r>
      <w:r w:rsidR="002C17FE">
        <w:t xml:space="preserve"> parts:</w:t>
      </w:r>
    </w:p>
    <w:p w14:paraId="7501CD1A" w14:textId="67B29955" w:rsidR="00DF433F" w:rsidRDefault="00DF433F">
      <w:r>
        <w:t xml:space="preserve">In order to consider the component parts there will need to be consideration undertaken at </w:t>
      </w:r>
      <w:r w:rsidR="007F4743">
        <w:t>three levels</w:t>
      </w:r>
      <w:r w:rsidRPr="00DF433F">
        <w:rPr>
          <w:b/>
        </w:rPr>
        <w:t>.</w:t>
      </w:r>
      <w:r>
        <w:t xml:space="preserve"> These are </w:t>
      </w:r>
    </w:p>
    <w:p w14:paraId="62A97D68" w14:textId="77777777" w:rsidR="00DF433F" w:rsidRDefault="00DF433F" w:rsidP="00DF433F">
      <w:pPr>
        <w:pStyle w:val="ListParagraph"/>
        <w:numPr>
          <w:ilvl w:val="0"/>
          <w:numId w:val="2"/>
        </w:numPr>
      </w:pPr>
      <w:r>
        <w:t>An individual clinical level</w:t>
      </w:r>
    </w:p>
    <w:p w14:paraId="3EB9E9F8" w14:textId="241D4590" w:rsidR="00DF433F" w:rsidRDefault="00DF433F" w:rsidP="00DF433F">
      <w:pPr>
        <w:pStyle w:val="ListParagraph"/>
        <w:numPr>
          <w:ilvl w:val="0"/>
          <w:numId w:val="2"/>
        </w:numPr>
      </w:pPr>
      <w:r>
        <w:t>An overall service and system wide level</w:t>
      </w:r>
    </w:p>
    <w:p w14:paraId="0711B021" w14:textId="287526D3" w:rsidR="00DF433F" w:rsidRDefault="00DF433F" w:rsidP="00DF433F">
      <w:pPr>
        <w:pStyle w:val="ListParagraph"/>
        <w:numPr>
          <w:ilvl w:val="0"/>
          <w:numId w:val="2"/>
        </w:numPr>
      </w:pPr>
      <w:r>
        <w:t xml:space="preserve">Multi agency partnership level. </w:t>
      </w:r>
    </w:p>
    <w:p w14:paraId="2A9F754E" w14:textId="77777777" w:rsidR="00DF433F" w:rsidRDefault="00DF433F"/>
    <w:p w14:paraId="44BB8F7D" w14:textId="310E93AB" w:rsidR="002C17FE" w:rsidRDefault="002C17FE">
      <w:r>
        <w:t xml:space="preserve">All stakeholder will </w:t>
      </w:r>
      <w:r w:rsidR="00DF433F">
        <w:t>include</w:t>
      </w:r>
      <w:r>
        <w:t xml:space="preserve"> commissioners, service users and parents as well as </w:t>
      </w:r>
      <w:r w:rsidR="007F4743">
        <w:t>all</w:t>
      </w:r>
      <w:r>
        <w:t xml:space="preserve"> the </w:t>
      </w:r>
      <w:r w:rsidR="00DF433F">
        <w:t>multi-agency</w:t>
      </w:r>
      <w:r>
        <w:t xml:space="preserve"> service provision </w:t>
      </w:r>
    </w:p>
    <w:p w14:paraId="7717B4DB" w14:textId="77777777" w:rsidR="002C17FE" w:rsidRDefault="002C17FE"/>
    <w:p w14:paraId="1BDE1FE1" w14:textId="504CE1B8" w:rsidR="00D77ABB" w:rsidRDefault="00D21326">
      <w:r>
        <w:t xml:space="preserve">The document </w:t>
      </w:r>
      <w:r w:rsidR="00AC3FFC">
        <w:t>l ha</w:t>
      </w:r>
      <w:r>
        <w:t>s been designed for staff to benchmark where they believe their own service is in relation to self-assess</w:t>
      </w:r>
      <w:r w:rsidR="00AC3FFC">
        <w:t xml:space="preserve"> as</w:t>
      </w:r>
      <w:r w:rsidR="002C17FE">
        <w:t xml:space="preserve"> an aid to service change and/ or transformation</w:t>
      </w:r>
      <w:r w:rsidR="00680655">
        <w:t xml:space="preserve">. </w:t>
      </w:r>
    </w:p>
    <w:p w14:paraId="08A8C017" w14:textId="77777777" w:rsidR="00DD5324" w:rsidRDefault="00DD5324" w:rsidP="00DD5324"/>
    <w:p w14:paraId="3C6F14C0" w14:textId="77777777" w:rsidR="00DD5324" w:rsidRDefault="00DD5324" w:rsidP="00DD5324"/>
    <w:p w14:paraId="46DEFE1C" w14:textId="77777777" w:rsidR="00D77ABB" w:rsidRDefault="00D77ABB"/>
    <w:p w14:paraId="24E7F901" w14:textId="77777777" w:rsidR="00470AAC" w:rsidRDefault="00470AAC"/>
    <w:p w14:paraId="5D4FC565" w14:textId="77777777" w:rsidR="00470AAC" w:rsidRDefault="00470AAC"/>
    <w:p w14:paraId="58549060" w14:textId="77777777" w:rsidR="00470AAC" w:rsidRDefault="00470AAC"/>
    <w:p w14:paraId="0739D4A9" w14:textId="72251AAE" w:rsidR="00745E92" w:rsidRPr="002C17FE" w:rsidRDefault="008D71F8" w:rsidP="002C17FE">
      <w:pPr>
        <w:rPr>
          <w:rFonts w:eastAsiaTheme="majorEastAsia" w:cstheme="majorBidi"/>
          <w:b/>
          <w:bCs/>
          <w:color w:val="800080"/>
          <w:sz w:val="32"/>
          <w:szCs w:val="32"/>
        </w:rPr>
      </w:pPr>
      <w:r>
        <w:br w:type="page"/>
      </w:r>
    </w:p>
    <w:p w14:paraId="53F32896" w14:textId="77777777" w:rsidR="00C47730" w:rsidRDefault="00C47730" w:rsidP="00C47730"/>
    <w:tbl>
      <w:tblPr>
        <w:tblStyle w:val="LightList-Accent4"/>
        <w:tblW w:w="0" w:type="auto"/>
        <w:tblInd w:w="-459" w:type="dxa"/>
        <w:tblLook w:val="00A0" w:firstRow="1" w:lastRow="0" w:firstColumn="1" w:lastColumn="0" w:noHBand="0" w:noVBand="0"/>
      </w:tblPr>
      <w:tblGrid>
        <w:gridCol w:w="525"/>
        <w:gridCol w:w="4853"/>
        <w:gridCol w:w="3335"/>
        <w:gridCol w:w="333"/>
        <w:gridCol w:w="2703"/>
        <w:gridCol w:w="2650"/>
      </w:tblGrid>
      <w:tr w:rsidR="007651EC" w14:paraId="61BB919B" w14:textId="51E54FCE" w:rsidTr="001F4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shd w:val="clear" w:color="auto" w:fill="CD0C54" w:themeFill="accent3" w:themeFillShade="BF"/>
          </w:tcPr>
          <w:p w14:paraId="0B1373F9" w14:textId="5424A761" w:rsidR="000F4F40" w:rsidRDefault="000F4F40" w:rsidP="00C25215">
            <w:pPr>
              <w:jc w:val="center"/>
            </w:pPr>
            <w:r>
              <w:t xml:space="preserve">No </w:t>
            </w:r>
          </w:p>
        </w:tc>
        <w:tc>
          <w:tcPr>
            <w:cnfStyle w:val="000010000000" w:firstRow="0" w:lastRow="0" w:firstColumn="0" w:lastColumn="0" w:oddVBand="1" w:evenVBand="0" w:oddHBand="0" w:evenHBand="0" w:firstRowFirstColumn="0" w:firstRowLastColumn="0" w:lastRowFirstColumn="0" w:lastRowLastColumn="0"/>
            <w:tcW w:w="4859" w:type="dxa"/>
            <w:shd w:val="clear" w:color="auto" w:fill="CD0C54" w:themeFill="accent3" w:themeFillShade="BF"/>
            <w:vAlign w:val="center"/>
          </w:tcPr>
          <w:p w14:paraId="1C42E811" w14:textId="3A6D383E" w:rsidR="000F4F40" w:rsidRDefault="000F4F40" w:rsidP="00C25215">
            <w:pPr>
              <w:jc w:val="center"/>
            </w:pPr>
            <w:r>
              <w:t xml:space="preserve">Component </w:t>
            </w:r>
          </w:p>
        </w:tc>
        <w:tc>
          <w:tcPr>
            <w:tcW w:w="3674" w:type="dxa"/>
            <w:gridSpan w:val="2"/>
            <w:shd w:val="clear" w:color="auto" w:fill="CD0C54" w:themeFill="accent3" w:themeFillShade="BF"/>
            <w:vAlign w:val="center"/>
          </w:tcPr>
          <w:p w14:paraId="181E6955" w14:textId="5ABDA45C" w:rsidR="000F4F40" w:rsidRDefault="000F4F40" w:rsidP="00C25215">
            <w:pPr>
              <w:jc w:val="center"/>
              <w:cnfStyle w:val="100000000000" w:firstRow="1" w:lastRow="0" w:firstColumn="0" w:lastColumn="0" w:oddVBand="0" w:evenVBand="0" w:oddHBand="0" w:evenHBand="0" w:firstRowFirstColumn="0" w:firstRowLastColumn="0" w:lastRowFirstColumn="0" w:lastRowLastColumn="0"/>
            </w:pPr>
            <w:r>
              <w:t>Where are we???</w:t>
            </w:r>
          </w:p>
        </w:tc>
        <w:tc>
          <w:tcPr>
            <w:cnfStyle w:val="000010000000" w:firstRow="0" w:lastRow="0" w:firstColumn="0" w:lastColumn="0" w:oddVBand="1" w:evenVBand="0" w:oddHBand="0" w:evenHBand="0" w:firstRowFirstColumn="0" w:firstRowLastColumn="0" w:lastRowFirstColumn="0" w:lastRowLastColumn="0"/>
            <w:tcW w:w="5361" w:type="dxa"/>
            <w:gridSpan w:val="2"/>
            <w:shd w:val="clear" w:color="auto" w:fill="CD0C54" w:themeFill="accent3" w:themeFillShade="BF"/>
          </w:tcPr>
          <w:p w14:paraId="6533714B" w14:textId="64745506" w:rsidR="000F4F40" w:rsidRDefault="000F4F40" w:rsidP="00C25215">
            <w:pPr>
              <w:jc w:val="center"/>
            </w:pPr>
            <w:r>
              <w:t xml:space="preserve">Next Steps needed </w:t>
            </w:r>
          </w:p>
        </w:tc>
      </w:tr>
      <w:tr w:rsidR="000F4F40" w14:paraId="6A4B9FC5" w14:textId="018E33D3"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shd w:val="clear" w:color="auto" w:fill="FCD5E4" w:themeFill="accent3" w:themeFillTint="33"/>
          </w:tcPr>
          <w:p w14:paraId="46868724" w14:textId="4A771745" w:rsidR="000F4F40" w:rsidRPr="00B948CB" w:rsidRDefault="000F4F40" w:rsidP="005C474D"/>
        </w:tc>
        <w:tc>
          <w:tcPr>
            <w:cnfStyle w:val="000010000000" w:firstRow="0" w:lastRow="0" w:firstColumn="0" w:lastColumn="0" w:oddVBand="1" w:evenVBand="0" w:oddHBand="0" w:evenHBand="0" w:firstRowFirstColumn="0" w:firstRowLastColumn="0" w:lastRowFirstColumn="0" w:lastRowLastColumn="0"/>
            <w:tcW w:w="13894" w:type="dxa"/>
            <w:gridSpan w:val="5"/>
            <w:shd w:val="clear" w:color="auto" w:fill="FCD5E4" w:themeFill="accent3" w:themeFillTint="33"/>
          </w:tcPr>
          <w:p w14:paraId="4766D681" w14:textId="0454DBF2" w:rsidR="000F4F40" w:rsidRPr="007651EC" w:rsidRDefault="000F4F40" w:rsidP="005C474D">
            <w:pPr>
              <w:rPr>
                <w:b/>
              </w:rPr>
            </w:pPr>
            <w:r w:rsidRPr="007651EC">
              <w:rPr>
                <w:b/>
              </w:rPr>
              <w:t xml:space="preserve">Individual clinical level (interacting with young people and staff) </w:t>
            </w:r>
          </w:p>
        </w:tc>
      </w:tr>
      <w:tr w:rsidR="007651EC" w14:paraId="4429A2A5"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0E08084D" w14:textId="31A2A47A" w:rsidR="000F4F40" w:rsidRPr="008E10BD" w:rsidRDefault="000F4F40" w:rsidP="000F4F40">
            <w:r>
              <w:t>1</w:t>
            </w:r>
            <w:r w:rsidR="007651EC">
              <w:t>.0</w:t>
            </w:r>
          </w:p>
        </w:tc>
        <w:tc>
          <w:tcPr>
            <w:cnfStyle w:val="000010000000" w:firstRow="0" w:lastRow="0" w:firstColumn="0" w:lastColumn="0" w:oddVBand="1" w:evenVBand="0" w:oddHBand="0" w:evenHBand="0" w:firstRowFirstColumn="0" w:firstRowLastColumn="0" w:lastRowFirstColumn="0" w:lastRowLastColumn="0"/>
            <w:tcW w:w="4859" w:type="dxa"/>
            <w:shd w:val="clear" w:color="auto" w:fill="FCD5E4" w:themeFill="accent3" w:themeFillTint="33"/>
          </w:tcPr>
          <w:p w14:paraId="23FA6AF9" w14:textId="31FB3AB5" w:rsidR="000F4F40" w:rsidRPr="000F4F40" w:rsidRDefault="000F4F40" w:rsidP="000F4F40">
            <w:pPr>
              <w:rPr>
                <w:b/>
              </w:rPr>
            </w:pPr>
            <w:r w:rsidRPr="000F4F40">
              <w:rPr>
                <w:b/>
              </w:rPr>
              <w:t>Preparing staff</w:t>
            </w:r>
          </w:p>
        </w:tc>
        <w:tc>
          <w:tcPr>
            <w:tcW w:w="3340" w:type="dxa"/>
            <w:shd w:val="clear" w:color="auto" w:fill="FCD5E4" w:themeFill="accent3" w:themeFillTint="33"/>
          </w:tcPr>
          <w:p w14:paraId="58E6990A" w14:textId="77777777" w:rsidR="000F4F40" w:rsidRPr="000F4F40" w:rsidRDefault="000F4F40" w:rsidP="00987C1E">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5695" w:type="dxa"/>
            <w:gridSpan w:val="3"/>
            <w:shd w:val="clear" w:color="auto" w:fill="FCD5E4" w:themeFill="accent3" w:themeFillTint="33"/>
          </w:tcPr>
          <w:p w14:paraId="2189F285" w14:textId="77777777" w:rsidR="000F4F40" w:rsidRPr="000F4F40" w:rsidRDefault="000F4F40" w:rsidP="005C474D">
            <w:pPr>
              <w:rPr>
                <w:b/>
              </w:rPr>
            </w:pPr>
          </w:p>
        </w:tc>
      </w:tr>
      <w:tr w:rsidR="007651EC" w14:paraId="3A60ACA2"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7502AC07" w14:textId="15D248F5" w:rsidR="000F4F40" w:rsidRPr="008E10BD" w:rsidRDefault="000F4F40" w:rsidP="000F4F40">
            <w:r>
              <w:t>1</w:t>
            </w:r>
            <w:r w:rsidR="007651EC">
              <w:t>.1</w:t>
            </w:r>
          </w:p>
        </w:tc>
        <w:tc>
          <w:tcPr>
            <w:cnfStyle w:val="000010000000" w:firstRow="0" w:lastRow="0" w:firstColumn="0" w:lastColumn="0" w:oddVBand="1" w:evenVBand="0" w:oddHBand="0" w:evenHBand="0" w:firstRowFirstColumn="0" w:firstRowLastColumn="0" w:lastRowFirstColumn="0" w:lastRowLastColumn="0"/>
            <w:tcW w:w="4859" w:type="dxa"/>
          </w:tcPr>
          <w:p w14:paraId="167C1DFD" w14:textId="77777777" w:rsidR="000F4F40" w:rsidRDefault="000F4F40" w:rsidP="000F4F40">
            <w:r>
              <w:t xml:space="preserve">Capacity: </w:t>
            </w:r>
          </w:p>
          <w:p w14:paraId="4F48EA92" w14:textId="1B3D3738" w:rsidR="000F4F40" w:rsidRPr="008E10BD" w:rsidRDefault="000F4F40" w:rsidP="000F4F40">
            <w:pPr>
              <w:rPr>
                <w:b/>
              </w:rPr>
            </w:pPr>
            <w:r w:rsidRPr="008E10BD">
              <w:t>Assurances for staff on how capacity and demand will be monitored?</w:t>
            </w:r>
          </w:p>
          <w:p w14:paraId="3B5BC8DE" w14:textId="77777777" w:rsidR="000F4F40" w:rsidRPr="008E10BD" w:rsidRDefault="000F4F40" w:rsidP="000F4F40">
            <w:pPr>
              <w:rPr>
                <w:b/>
              </w:rPr>
            </w:pPr>
          </w:p>
          <w:p w14:paraId="1ED2A6B1" w14:textId="77777777" w:rsidR="000F4F40" w:rsidRPr="008E10BD" w:rsidRDefault="000F4F40" w:rsidP="00FA69F4"/>
        </w:tc>
        <w:tc>
          <w:tcPr>
            <w:tcW w:w="3340" w:type="dxa"/>
          </w:tcPr>
          <w:p w14:paraId="1251A228" w14:textId="77777777" w:rsidR="000F4F40" w:rsidRDefault="000F4F40"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95" w:type="dxa"/>
            <w:gridSpan w:val="3"/>
          </w:tcPr>
          <w:p w14:paraId="60C68171" w14:textId="77777777" w:rsidR="000F4F40" w:rsidRDefault="000F4F40" w:rsidP="005C474D"/>
        </w:tc>
      </w:tr>
      <w:tr w:rsidR="007651EC" w14:paraId="5B1F2BD2"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2A829819" w14:textId="79667D00" w:rsidR="000F4F40" w:rsidRDefault="000F4F40" w:rsidP="008E10BD">
            <w:r>
              <w:t>1</w:t>
            </w:r>
            <w:r w:rsidR="007651EC">
              <w:t>.2</w:t>
            </w:r>
          </w:p>
        </w:tc>
        <w:tc>
          <w:tcPr>
            <w:cnfStyle w:val="000010000000" w:firstRow="0" w:lastRow="0" w:firstColumn="0" w:lastColumn="0" w:oddVBand="1" w:evenVBand="0" w:oddHBand="0" w:evenHBand="0" w:firstRowFirstColumn="0" w:firstRowLastColumn="0" w:lastRowFirstColumn="0" w:lastRowLastColumn="0"/>
            <w:tcW w:w="4859" w:type="dxa"/>
          </w:tcPr>
          <w:p w14:paraId="288BD9DD" w14:textId="77777777" w:rsidR="000F4F40" w:rsidRDefault="000F4F40" w:rsidP="000F4F40">
            <w:r>
              <w:t xml:space="preserve">Values: </w:t>
            </w:r>
          </w:p>
          <w:p w14:paraId="5468A849" w14:textId="1A43727D" w:rsidR="000F4F40" w:rsidRPr="008E10BD" w:rsidRDefault="000F4F40" w:rsidP="000F4F40">
            <w:pPr>
              <w:rPr>
                <w:b/>
              </w:rPr>
            </w:pPr>
            <w:r w:rsidRPr="008E10BD">
              <w:t>What personal staff values does self-referral fit with (increasing access to service; patient-centred care)</w:t>
            </w:r>
            <w:r>
              <w:t>. Essential to ensure the whole team understand the rationale for providing a self-referral process.</w:t>
            </w:r>
          </w:p>
          <w:p w14:paraId="6F11B7BE" w14:textId="77777777" w:rsidR="000F4F40" w:rsidRPr="008E10BD" w:rsidRDefault="000F4F40" w:rsidP="008E10BD"/>
        </w:tc>
        <w:tc>
          <w:tcPr>
            <w:tcW w:w="3340" w:type="dxa"/>
          </w:tcPr>
          <w:p w14:paraId="15C2EADD" w14:textId="77777777" w:rsidR="000F4F40" w:rsidRDefault="000F4F40"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95" w:type="dxa"/>
            <w:gridSpan w:val="3"/>
          </w:tcPr>
          <w:p w14:paraId="71B8D70E" w14:textId="77777777" w:rsidR="000F4F40" w:rsidRDefault="000F4F40" w:rsidP="005C474D"/>
        </w:tc>
      </w:tr>
      <w:tr w:rsidR="007651EC" w14:paraId="5ED27239" w14:textId="4F3FFD30"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2CEAE98F" w14:textId="0FDC5E79" w:rsidR="000F4F40" w:rsidRPr="008E10BD" w:rsidRDefault="000F4F40" w:rsidP="008E10BD">
            <w:r>
              <w:t>1</w:t>
            </w:r>
            <w:r w:rsidR="007651EC">
              <w:t>.3</w:t>
            </w:r>
          </w:p>
        </w:tc>
        <w:tc>
          <w:tcPr>
            <w:cnfStyle w:val="000010000000" w:firstRow="0" w:lastRow="0" w:firstColumn="0" w:lastColumn="0" w:oddVBand="1" w:evenVBand="0" w:oddHBand="0" w:evenHBand="0" w:firstRowFirstColumn="0" w:firstRowLastColumn="0" w:lastRowFirstColumn="0" w:lastRowLastColumn="0"/>
            <w:tcW w:w="4859" w:type="dxa"/>
          </w:tcPr>
          <w:p w14:paraId="2AEDBD39" w14:textId="77777777" w:rsidR="000F4F40" w:rsidRDefault="000F4F40" w:rsidP="000F4F40">
            <w:pPr>
              <w:rPr>
                <w:u w:val="single"/>
              </w:rPr>
            </w:pPr>
            <w:r>
              <w:t xml:space="preserve">Local Knowledge: </w:t>
            </w:r>
            <w:r w:rsidRPr="008E10BD">
              <w:t>What knowledge do clinicians and managers need to know in terms of the ‘Local Offer’</w:t>
            </w:r>
            <w:r>
              <w:t>/services directory,</w:t>
            </w:r>
            <w:r w:rsidRPr="008E10BD">
              <w:t xml:space="preserve"> for </w:t>
            </w:r>
            <w:r w:rsidRPr="00CC68BA">
              <w:t>children’s services within the area? (Kooth; emotional well-being and resilience teams in schools for example).</w:t>
            </w:r>
            <w:r>
              <w:t xml:space="preserve">  </w:t>
            </w:r>
            <w:r w:rsidRPr="005B32C3">
              <w:rPr>
                <w:u w:val="single"/>
              </w:rPr>
              <w:t>How will this be maintained?</w:t>
            </w:r>
          </w:p>
          <w:p w14:paraId="5B503A48" w14:textId="4E9AFD21" w:rsidR="000F4F40" w:rsidRPr="00954238" w:rsidRDefault="000F4F40" w:rsidP="000F4F40">
            <w:pPr>
              <w:rPr>
                <w:b/>
              </w:rPr>
            </w:pPr>
          </w:p>
        </w:tc>
        <w:tc>
          <w:tcPr>
            <w:tcW w:w="3340" w:type="dxa"/>
          </w:tcPr>
          <w:p w14:paraId="231103FB" w14:textId="168B11EF" w:rsidR="000F4F40" w:rsidRDefault="000F4F40"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95" w:type="dxa"/>
            <w:gridSpan w:val="3"/>
          </w:tcPr>
          <w:p w14:paraId="64E0F613" w14:textId="77777777" w:rsidR="000F4F40" w:rsidRDefault="000F4F40" w:rsidP="005C474D"/>
        </w:tc>
      </w:tr>
      <w:tr w:rsidR="007651EC" w14:paraId="5E2AB028"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00A81EFF" w14:textId="127C3251" w:rsidR="000F4F40" w:rsidRDefault="000F4F40" w:rsidP="008E10BD">
            <w:r>
              <w:t>1</w:t>
            </w:r>
            <w:r w:rsidR="007651EC">
              <w:t>.4</w:t>
            </w:r>
          </w:p>
        </w:tc>
        <w:tc>
          <w:tcPr>
            <w:cnfStyle w:val="000010000000" w:firstRow="0" w:lastRow="0" w:firstColumn="0" w:lastColumn="0" w:oddVBand="1" w:evenVBand="0" w:oddHBand="0" w:evenHBand="0" w:firstRowFirstColumn="0" w:firstRowLastColumn="0" w:lastRowFirstColumn="0" w:lastRowLastColumn="0"/>
            <w:tcW w:w="4859" w:type="dxa"/>
          </w:tcPr>
          <w:p w14:paraId="619F7FCA" w14:textId="6542C603" w:rsidR="000F4F40" w:rsidRPr="000F4F40" w:rsidRDefault="000F4F40" w:rsidP="000F4F40">
            <w:r>
              <w:t>Training:</w:t>
            </w:r>
          </w:p>
          <w:p w14:paraId="3EF659F9" w14:textId="77777777" w:rsidR="000F4F40" w:rsidRDefault="000F4F40" w:rsidP="000F4F40">
            <w:pPr>
              <w:rPr>
                <w:b/>
              </w:rPr>
            </w:pPr>
            <w:r w:rsidRPr="008E10BD">
              <w:t>What do we need staff to know in terms of the self-referral process we will be implementing?</w:t>
            </w:r>
          </w:p>
          <w:p w14:paraId="0BE68D63" w14:textId="03EE3BDD" w:rsidR="000F4F40" w:rsidRPr="000F4F40" w:rsidRDefault="00792F63" w:rsidP="000F4F40">
            <w:r w:rsidRPr="000F4F40">
              <w:lastRenderedPageBreak/>
              <w:t>e.g.</w:t>
            </w:r>
            <w:bookmarkStart w:id="0" w:name="_GoBack"/>
            <w:bookmarkEnd w:id="0"/>
            <w:r w:rsidR="000F4F40" w:rsidRPr="000F4F40">
              <w:t xml:space="preserve"> Consent? </w:t>
            </w:r>
          </w:p>
          <w:p w14:paraId="4CB9CA1E" w14:textId="77777777" w:rsidR="000F4F40" w:rsidRPr="008E10BD" w:rsidRDefault="000F4F40" w:rsidP="008E10BD"/>
        </w:tc>
        <w:tc>
          <w:tcPr>
            <w:tcW w:w="3340" w:type="dxa"/>
          </w:tcPr>
          <w:p w14:paraId="0E8BC48F" w14:textId="77777777" w:rsidR="000F4F40" w:rsidRDefault="000F4F40"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95" w:type="dxa"/>
            <w:gridSpan w:val="3"/>
          </w:tcPr>
          <w:p w14:paraId="230050DB" w14:textId="77777777" w:rsidR="000F4F40" w:rsidRDefault="000F4F40" w:rsidP="005C474D"/>
        </w:tc>
      </w:tr>
      <w:tr w:rsidR="007651EC" w14:paraId="2B534FB5" w14:textId="254D165D"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26EBA4D" w14:textId="10446A34" w:rsidR="000F4F40" w:rsidRPr="008E10BD" w:rsidRDefault="001F4254" w:rsidP="00FA69F4">
            <w:r>
              <w:t>1</w:t>
            </w:r>
            <w:r w:rsidR="007651EC">
              <w:t>.5</w:t>
            </w:r>
          </w:p>
        </w:tc>
        <w:tc>
          <w:tcPr>
            <w:cnfStyle w:val="000010000000" w:firstRow="0" w:lastRow="0" w:firstColumn="0" w:lastColumn="0" w:oddVBand="1" w:evenVBand="0" w:oddHBand="0" w:evenHBand="0" w:firstRowFirstColumn="0" w:firstRowLastColumn="0" w:lastRowFirstColumn="0" w:lastRowLastColumn="0"/>
            <w:tcW w:w="4859" w:type="dxa"/>
          </w:tcPr>
          <w:p w14:paraId="2B37C95D" w14:textId="4DADEC4B" w:rsidR="001F4254" w:rsidRDefault="001F4254" w:rsidP="001F4254">
            <w:pPr>
              <w:rPr>
                <w:b/>
              </w:rPr>
            </w:pPr>
            <w:r w:rsidRPr="005B32C3">
              <w:t>Staff involvement</w:t>
            </w:r>
            <w:r>
              <w:t>:</w:t>
            </w:r>
          </w:p>
          <w:p w14:paraId="34675CB3" w14:textId="4A4B1632" w:rsidR="000F4F40" w:rsidRPr="00954238" w:rsidRDefault="001F4254" w:rsidP="001F4254">
            <w:pPr>
              <w:rPr>
                <w:b/>
              </w:rPr>
            </w:pPr>
            <w:r>
              <w:t>How have staff been involved in the development of the self-referral process alongside other stakeholders such as service users and commissioners?</w:t>
            </w:r>
          </w:p>
        </w:tc>
        <w:tc>
          <w:tcPr>
            <w:tcW w:w="3340" w:type="dxa"/>
          </w:tcPr>
          <w:p w14:paraId="63115769" w14:textId="102ACEFA"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695" w:type="dxa"/>
            <w:gridSpan w:val="3"/>
          </w:tcPr>
          <w:p w14:paraId="195FB100" w14:textId="77777777" w:rsidR="000F4F40" w:rsidRDefault="000F4F40" w:rsidP="005C474D"/>
        </w:tc>
      </w:tr>
      <w:tr w:rsidR="000F4F40" w14:paraId="609E39AF" w14:textId="4DDA847D" w:rsidTr="001F4254">
        <w:tc>
          <w:tcPr>
            <w:cnfStyle w:val="001000000000" w:firstRow="0" w:lastRow="0" w:firstColumn="1" w:lastColumn="0" w:oddVBand="0" w:evenVBand="0" w:oddHBand="0" w:evenHBand="0" w:firstRowFirstColumn="0" w:firstRowLastColumn="0" w:lastRowFirstColumn="0" w:lastRowLastColumn="0"/>
            <w:tcW w:w="505" w:type="dxa"/>
            <w:shd w:val="clear" w:color="auto" w:fill="FCD5E4" w:themeFill="accent3" w:themeFillTint="33"/>
          </w:tcPr>
          <w:p w14:paraId="01404E32" w14:textId="3B48FBE4" w:rsidR="000F4F40" w:rsidRDefault="007651EC" w:rsidP="005C474D">
            <w:r>
              <w:t>2.0</w:t>
            </w:r>
          </w:p>
        </w:tc>
        <w:tc>
          <w:tcPr>
            <w:cnfStyle w:val="000010000000" w:firstRow="0" w:lastRow="0" w:firstColumn="0" w:lastColumn="0" w:oddVBand="1" w:evenVBand="0" w:oddHBand="0" w:evenHBand="0" w:firstRowFirstColumn="0" w:firstRowLastColumn="0" w:lastRowFirstColumn="0" w:lastRowLastColumn="0"/>
            <w:tcW w:w="13894" w:type="dxa"/>
            <w:gridSpan w:val="5"/>
            <w:shd w:val="clear" w:color="auto" w:fill="FCD5E4" w:themeFill="accent3" w:themeFillTint="33"/>
          </w:tcPr>
          <w:p w14:paraId="53199709" w14:textId="61991084" w:rsidR="000F4F40" w:rsidRPr="007651EC" w:rsidRDefault="000F4F40" w:rsidP="005C474D">
            <w:pPr>
              <w:rPr>
                <w:b/>
              </w:rPr>
            </w:pPr>
            <w:r w:rsidRPr="007651EC">
              <w:rPr>
                <w:b/>
              </w:rPr>
              <w:t xml:space="preserve">Service wide (working) level </w:t>
            </w:r>
          </w:p>
        </w:tc>
      </w:tr>
      <w:tr w:rsidR="007651EC" w14:paraId="12B5D19A" w14:textId="17C41621"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8476B15" w14:textId="6C2266FB" w:rsidR="000F4F40" w:rsidRPr="007651EC" w:rsidRDefault="007651EC" w:rsidP="00FA69F4">
            <w:r w:rsidRPr="007651EC">
              <w:t>2</w:t>
            </w:r>
            <w:r>
              <w:t>.1</w:t>
            </w:r>
          </w:p>
        </w:tc>
        <w:tc>
          <w:tcPr>
            <w:cnfStyle w:val="000010000000" w:firstRow="0" w:lastRow="0" w:firstColumn="0" w:lastColumn="0" w:oddVBand="1" w:evenVBand="0" w:oddHBand="0" w:evenHBand="0" w:firstRowFirstColumn="0" w:firstRowLastColumn="0" w:lastRowFirstColumn="0" w:lastRowLastColumn="0"/>
            <w:tcW w:w="4859" w:type="dxa"/>
          </w:tcPr>
          <w:p w14:paraId="17752C2B" w14:textId="3D53008E" w:rsidR="000F4F40" w:rsidRPr="001F4254" w:rsidRDefault="001F4254" w:rsidP="008E10BD">
            <w:r w:rsidRPr="001F4254">
              <w:t>Coordinated approach:</w:t>
            </w:r>
          </w:p>
          <w:p w14:paraId="09892323" w14:textId="41C60012" w:rsidR="000F4F40" w:rsidRDefault="000F4F40" w:rsidP="00FA69F4">
            <w:pPr>
              <w:rPr>
                <w:b/>
              </w:rPr>
            </w:pPr>
            <w:r>
              <w:t>H</w:t>
            </w:r>
            <w:r w:rsidRPr="008E10BD">
              <w:t>ow will we ensure there is a consistent approach implemented across the service?</w:t>
            </w:r>
            <w:r w:rsidR="007651EC">
              <w:t xml:space="preserve"> How is work coordinated?</w:t>
            </w:r>
          </w:p>
          <w:p w14:paraId="73CEE58C" w14:textId="77777777" w:rsidR="000F4F40" w:rsidRDefault="000F4F40" w:rsidP="00FA69F4">
            <w:pPr>
              <w:rPr>
                <w:b/>
              </w:rPr>
            </w:pPr>
          </w:p>
          <w:p w14:paraId="3CE0FFAC" w14:textId="6D15AE5C" w:rsidR="000F4F40" w:rsidRPr="007817BF" w:rsidRDefault="000F4F40" w:rsidP="00FA69F4">
            <w:pPr>
              <w:rPr>
                <w:b/>
              </w:rPr>
            </w:pPr>
          </w:p>
        </w:tc>
        <w:tc>
          <w:tcPr>
            <w:tcW w:w="3340" w:type="dxa"/>
          </w:tcPr>
          <w:p w14:paraId="6C72FF37"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369314B4" w14:textId="77777777" w:rsidR="000F4F40" w:rsidRDefault="000F4F40" w:rsidP="005C474D"/>
        </w:tc>
        <w:tc>
          <w:tcPr>
            <w:tcW w:w="2654" w:type="dxa"/>
          </w:tcPr>
          <w:p w14:paraId="5891AC01"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5447A403"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690DC60F" w14:textId="4C1CB9D6" w:rsidR="000F4F40" w:rsidRPr="008E10BD" w:rsidRDefault="007651EC" w:rsidP="00FA69F4">
            <w:r>
              <w:t>2.2</w:t>
            </w:r>
          </w:p>
        </w:tc>
        <w:tc>
          <w:tcPr>
            <w:cnfStyle w:val="000010000000" w:firstRow="0" w:lastRow="0" w:firstColumn="0" w:lastColumn="0" w:oddVBand="1" w:evenVBand="0" w:oddHBand="0" w:evenHBand="0" w:firstRowFirstColumn="0" w:firstRowLastColumn="0" w:lastRowFirstColumn="0" w:lastRowLastColumn="0"/>
            <w:tcW w:w="4859" w:type="dxa"/>
          </w:tcPr>
          <w:p w14:paraId="119BE8BB" w14:textId="733B100C" w:rsidR="000F4F40" w:rsidRPr="008E10BD" w:rsidRDefault="000F4F40" w:rsidP="00FA69F4">
            <w:r w:rsidRPr="008E10BD">
              <w:t>Data</w:t>
            </w:r>
            <w:r w:rsidR="007651EC">
              <w:t>:</w:t>
            </w:r>
          </w:p>
          <w:p w14:paraId="06BF4F7F" w14:textId="15D1183F" w:rsidR="000F4F40" w:rsidRDefault="000F4F40" w:rsidP="00FA69F4">
            <w:pPr>
              <w:rPr>
                <w:b/>
              </w:rPr>
            </w:pPr>
            <w:r>
              <w:t>What data do we need to include to ensure the self-referral process is evaluated to assure increased service access to service users?</w:t>
            </w:r>
          </w:p>
          <w:p w14:paraId="281A5602" w14:textId="2E9A62AB" w:rsidR="000F4F40" w:rsidRDefault="000F4F40" w:rsidP="00FA69F4">
            <w:pPr>
              <w:rPr>
                <w:b/>
              </w:rPr>
            </w:pPr>
          </w:p>
          <w:p w14:paraId="4DB70C12" w14:textId="61EA94FE" w:rsidR="000F4F40" w:rsidRDefault="000F4F40" w:rsidP="00FA69F4">
            <w:pPr>
              <w:rPr>
                <w:b/>
              </w:rPr>
            </w:pPr>
            <w:r>
              <w:t>What data do we need in terms of local demographics to inform the service of demand within the local area?</w:t>
            </w:r>
          </w:p>
          <w:p w14:paraId="19ED03EF" w14:textId="019B411D" w:rsidR="000F4F40" w:rsidRPr="007817BF" w:rsidRDefault="000F4F40" w:rsidP="00FA69F4">
            <w:pPr>
              <w:rPr>
                <w:b/>
              </w:rPr>
            </w:pPr>
          </w:p>
        </w:tc>
        <w:tc>
          <w:tcPr>
            <w:tcW w:w="3340" w:type="dxa"/>
          </w:tcPr>
          <w:p w14:paraId="34BC9E39" w14:textId="263C5D51"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430EC59A" w14:textId="77777777" w:rsidR="000F4F40" w:rsidRDefault="000F4F40" w:rsidP="005C474D"/>
        </w:tc>
        <w:tc>
          <w:tcPr>
            <w:tcW w:w="2654" w:type="dxa"/>
          </w:tcPr>
          <w:p w14:paraId="28BF7712"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524B298C"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23830509" w14:textId="4C9CA4DE" w:rsidR="007651EC" w:rsidRDefault="007651EC" w:rsidP="00FA69F4">
            <w:r>
              <w:t>2.3</w:t>
            </w:r>
          </w:p>
        </w:tc>
        <w:tc>
          <w:tcPr>
            <w:cnfStyle w:val="000010000000" w:firstRow="0" w:lastRow="0" w:firstColumn="0" w:lastColumn="0" w:oddVBand="1" w:evenVBand="0" w:oddHBand="0" w:evenHBand="0" w:firstRowFirstColumn="0" w:firstRowLastColumn="0" w:lastRowFirstColumn="0" w:lastRowLastColumn="0"/>
            <w:tcW w:w="4859" w:type="dxa"/>
          </w:tcPr>
          <w:p w14:paraId="3B43358F" w14:textId="77777777" w:rsidR="007651EC" w:rsidRDefault="007651EC" w:rsidP="007651EC">
            <w:r>
              <w:t>Information for service users and stakeholders:</w:t>
            </w:r>
          </w:p>
          <w:p w14:paraId="6BD05A56" w14:textId="58B88E98" w:rsidR="007651EC" w:rsidRDefault="007651EC" w:rsidP="007651EC">
            <w:pPr>
              <w:rPr>
                <w:b/>
              </w:rPr>
            </w:pPr>
            <w:r>
              <w:t xml:space="preserve"> What is the ‘digital offer’ – this includes the service website alongside web-based services that are provided in addition to CAMHS.</w:t>
            </w:r>
          </w:p>
          <w:p w14:paraId="7464E888" w14:textId="77777777" w:rsidR="007651EC" w:rsidRPr="008E10BD" w:rsidRDefault="007651EC" w:rsidP="00FA69F4"/>
        </w:tc>
        <w:tc>
          <w:tcPr>
            <w:tcW w:w="3340" w:type="dxa"/>
          </w:tcPr>
          <w:p w14:paraId="5E39A76F" w14:textId="77777777" w:rsidR="007651EC" w:rsidRDefault="007651EC"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64D93B3E" w14:textId="77777777" w:rsidR="007651EC" w:rsidRDefault="007651EC" w:rsidP="005C474D"/>
        </w:tc>
        <w:tc>
          <w:tcPr>
            <w:tcW w:w="2654" w:type="dxa"/>
          </w:tcPr>
          <w:p w14:paraId="7CC2A544" w14:textId="77777777" w:rsidR="007651EC" w:rsidRDefault="007651EC" w:rsidP="005C474D">
            <w:pPr>
              <w:cnfStyle w:val="000000100000" w:firstRow="0" w:lastRow="0" w:firstColumn="0" w:lastColumn="0" w:oddVBand="0" w:evenVBand="0" w:oddHBand="1" w:evenHBand="0" w:firstRowFirstColumn="0" w:firstRowLastColumn="0" w:lastRowFirstColumn="0" w:lastRowLastColumn="0"/>
            </w:pPr>
          </w:p>
        </w:tc>
      </w:tr>
      <w:tr w:rsidR="007651EC" w14:paraId="093646A6"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681241DD" w14:textId="17671AFA" w:rsidR="000F4F40" w:rsidRDefault="007651EC" w:rsidP="00FA69F4">
            <w:r>
              <w:t>2.4</w:t>
            </w:r>
          </w:p>
        </w:tc>
        <w:tc>
          <w:tcPr>
            <w:cnfStyle w:val="000010000000" w:firstRow="0" w:lastRow="0" w:firstColumn="0" w:lastColumn="0" w:oddVBand="1" w:evenVBand="0" w:oddHBand="0" w:evenHBand="0" w:firstRowFirstColumn="0" w:firstRowLastColumn="0" w:lastRowFirstColumn="0" w:lastRowLastColumn="0"/>
            <w:tcW w:w="4859" w:type="dxa"/>
          </w:tcPr>
          <w:p w14:paraId="01AE8269" w14:textId="09E6F9FC" w:rsidR="007651EC" w:rsidRDefault="007651EC" w:rsidP="00FA69F4">
            <w:r>
              <w:t xml:space="preserve">Consent: </w:t>
            </w:r>
          </w:p>
          <w:p w14:paraId="429D69F7" w14:textId="64A29809" w:rsidR="000F4F40" w:rsidRPr="007817BF" w:rsidRDefault="000F4F40" w:rsidP="007651EC">
            <w:pPr>
              <w:rPr>
                <w:b/>
              </w:rPr>
            </w:pPr>
            <w:r>
              <w:t>What measures has the service taken to assure that issues of consent have been addressed in terms of additional training for staff, documentation and providing information for all stakeholders?</w:t>
            </w:r>
          </w:p>
        </w:tc>
        <w:tc>
          <w:tcPr>
            <w:tcW w:w="3340" w:type="dxa"/>
          </w:tcPr>
          <w:p w14:paraId="2BF707D1"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3EF3A3A9" w14:textId="77777777" w:rsidR="000F4F40" w:rsidRDefault="000F4F40" w:rsidP="005C474D"/>
        </w:tc>
        <w:tc>
          <w:tcPr>
            <w:tcW w:w="2654" w:type="dxa"/>
          </w:tcPr>
          <w:p w14:paraId="23DA4FDB"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2E5753C7"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72E35FA1" w14:textId="3E4B8FF6" w:rsidR="007651EC" w:rsidRDefault="007651EC" w:rsidP="00FA69F4">
            <w:r>
              <w:t xml:space="preserve">2.5 </w:t>
            </w:r>
          </w:p>
        </w:tc>
        <w:tc>
          <w:tcPr>
            <w:cnfStyle w:val="000010000000" w:firstRow="0" w:lastRow="0" w:firstColumn="0" w:lastColumn="0" w:oddVBand="1" w:evenVBand="0" w:oddHBand="0" w:evenHBand="0" w:firstRowFirstColumn="0" w:firstRowLastColumn="0" w:lastRowFirstColumn="0" w:lastRowLastColumn="0"/>
            <w:tcW w:w="4859" w:type="dxa"/>
          </w:tcPr>
          <w:p w14:paraId="55CF0B51" w14:textId="77777777" w:rsidR="007651EC" w:rsidRDefault="007651EC" w:rsidP="007651EC">
            <w:pPr>
              <w:rPr>
                <w:b/>
              </w:rPr>
            </w:pPr>
            <w:r w:rsidRPr="000F4F40">
              <w:t>Documentation:</w:t>
            </w:r>
            <w:r>
              <w:rPr>
                <w:b/>
              </w:rPr>
              <w:t xml:space="preserve"> </w:t>
            </w:r>
          </w:p>
          <w:p w14:paraId="22E341D5" w14:textId="635F305B" w:rsidR="007651EC" w:rsidRPr="008E10BD" w:rsidRDefault="007651EC" w:rsidP="007651EC">
            <w:pPr>
              <w:rPr>
                <w:b/>
              </w:rPr>
            </w:pPr>
            <w:r>
              <w:t>Do we need to revise current capacity and consent documentation?</w:t>
            </w:r>
          </w:p>
          <w:p w14:paraId="03614214" w14:textId="77777777" w:rsidR="007651EC" w:rsidRDefault="007651EC" w:rsidP="007651EC">
            <w:pPr>
              <w:rPr>
                <w:b/>
              </w:rPr>
            </w:pPr>
          </w:p>
          <w:p w14:paraId="17D88F76" w14:textId="77777777" w:rsidR="007651EC" w:rsidRDefault="007651EC" w:rsidP="00FA69F4"/>
        </w:tc>
        <w:tc>
          <w:tcPr>
            <w:tcW w:w="3340" w:type="dxa"/>
          </w:tcPr>
          <w:p w14:paraId="6A0471F7" w14:textId="77777777" w:rsidR="007651EC" w:rsidRDefault="007651EC"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4794F13D" w14:textId="77777777" w:rsidR="007651EC" w:rsidRDefault="007651EC" w:rsidP="005C474D"/>
        </w:tc>
        <w:tc>
          <w:tcPr>
            <w:tcW w:w="2654" w:type="dxa"/>
          </w:tcPr>
          <w:p w14:paraId="37F78934" w14:textId="77777777" w:rsidR="007651EC" w:rsidRDefault="007651EC" w:rsidP="005C474D">
            <w:pPr>
              <w:cnfStyle w:val="000000100000" w:firstRow="0" w:lastRow="0" w:firstColumn="0" w:lastColumn="0" w:oddVBand="0" w:evenVBand="0" w:oddHBand="1" w:evenHBand="0" w:firstRowFirstColumn="0" w:firstRowLastColumn="0" w:lastRowFirstColumn="0" w:lastRowLastColumn="0"/>
            </w:pPr>
          </w:p>
        </w:tc>
      </w:tr>
      <w:tr w:rsidR="007651EC" w14:paraId="21365A5C"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02787E28" w14:textId="20407D77" w:rsidR="000F4F40" w:rsidRDefault="007651EC" w:rsidP="00FA69F4">
            <w:r>
              <w:t>2.6</w:t>
            </w:r>
          </w:p>
        </w:tc>
        <w:tc>
          <w:tcPr>
            <w:cnfStyle w:val="000010000000" w:firstRow="0" w:lastRow="0" w:firstColumn="0" w:lastColumn="0" w:oddVBand="1" w:evenVBand="0" w:oddHBand="0" w:evenHBand="0" w:firstRowFirstColumn="0" w:firstRowLastColumn="0" w:lastRowFirstColumn="0" w:lastRowLastColumn="0"/>
            <w:tcW w:w="4859" w:type="dxa"/>
          </w:tcPr>
          <w:p w14:paraId="053234F0" w14:textId="112E8618" w:rsidR="000F4F40" w:rsidRDefault="000F4F40" w:rsidP="00FA69F4">
            <w:r>
              <w:t>Documentation</w:t>
            </w:r>
            <w:r w:rsidR="007651EC">
              <w:t>:</w:t>
            </w:r>
          </w:p>
          <w:p w14:paraId="787BD142" w14:textId="24764F08" w:rsidR="000F4F40" w:rsidRPr="003E724A" w:rsidRDefault="000F4F40" w:rsidP="00FA69F4">
            <w:pPr>
              <w:rPr>
                <w:b/>
              </w:rPr>
            </w:pPr>
            <w:r>
              <w:t>What documentation do we need to develop to ensure action plans can be completed effectively and efficiently by clinicians providing advice, information and containment for the self-referral telephone line?</w:t>
            </w:r>
          </w:p>
        </w:tc>
        <w:tc>
          <w:tcPr>
            <w:tcW w:w="3340" w:type="dxa"/>
          </w:tcPr>
          <w:p w14:paraId="4117CAE3"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48CF2E52" w14:textId="77777777" w:rsidR="000F4F40" w:rsidRDefault="000F4F40" w:rsidP="005C474D"/>
        </w:tc>
        <w:tc>
          <w:tcPr>
            <w:tcW w:w="2654" w:type="dxa"/>
          </w:tcPr>
          <w:p w14:paraId="4F30E10C"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0F4F40" w14:paraId="7B7EBCDC" w14:textId="67808F28"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shd w:val="clear" w:color="auto" w:fill="FCD5E4" w:themeFill="accent3" w:themeFillTint="33"/>
          </w:tcPr>
          <w:p w14:paraId="1D3589CD" w14:textId="57916CF5" w:rsidR="000F4F40" w:rsidRDefault="007651EC" w:rsidP="007817BF">
            <w:r>
              <w:t>3.0</w:t>
            </w:r>
          </w:p>
        </w:tc>
        <w:tc>
          <w:tcPr>
            <w:cnfStyle w:val="000010000000" w:firstRow="0" w:lastRow="0" w:firstColumn="0" w:lastColumn="0" w:oddVBand="1" w:evenVBand="0" w:oddHBand="0" w:evenHBand="0" w:firstRowFirstColumn="0" w:firstRowLastColumn="0" w:lastRowFirstColumn="0" w:lastRowLastColumn="0"/>
            <w:tcW w:w="13894" w:type="dxa"/>
            <w:gridSpan w:val="5"/>
            <w:shd w:val="clear" w:color="auto" w:fill="FCD5E4" w:themeFill="accent3" w:themeFillTint="33"/>
          </w:tcPr>
          <w:p w14:paraId="4A00E7D8" w14:textId="5005F759" w:rsidR="000F4F40" w:rsidRPr="007651EC" w:rsidRDefault="000F4F40" w:rsidP="007817BF">
            <w:pPr>
              <w:rPr>
                <w:b/>
              </w:rPr>
            </w:pPr>
            <w:r w:rsidRPr="007651EC">
              <w:rPr>
                <w:b/>
              </w:rPr>
              <w:t xml:space="preserve">Multi agency stakeholder/ process level (commissioning and multi-agency strategy, parents, young people and carer co production/ consultation) </w:t>
            </w:r>
          </w:p>
        </w:tc>
      </w:tr>
      <w:tr w:rsidR="007651EC" w14:paraId="7F200FFB"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404BEC33" w14:textId="5EB21FA9" w:rsidR="007651EC" w:rsidRPr="007651EC" w:rsidRDefault="007651EC" w:rsidP="00FA69F4">
            <w:r>
              <w:t>3.1</w:t>
            </w:r>
          </w:p>
        </w:tc>
        <w:tc>
          <w:tcPr>
            <w:cnfStyle w:val="000010000000" w:firstRow="0" w:lastRow="0" w:firstColumn="0" w:lastColumn="0" w:oddVBand="1" w:evenVBand="0" w:oddHBand="0" w:evenHBand="0" w:firstRowFirstColumn="0" w:firstRowLastColumn="0" w:lastRowFirstColumn="0" w:lastRowLastColumn="0"/>
            <w:tcW w:w="4859" w:type="dxa"/>
          </w:tcPr>
          <w:p w14:paraId="136DAEEB" w14:textId="77777777" w:rsidR="007651EC" w:rsidRPr="008E10BD" w:rsidRDefault="007651EC" w:rsidP="007651EC">
            <w:r w:rsidRPr="008E10BD">
              <w:t>Commissioner involvement</w:t>
            </w:r>
            <w:r>
              <w:t>:</w:t>
            </w:r>
          </w:p>
          <w:p w14:paraId="71DC34DA" w14:textId="77777777" w:rsidR="007651EC" w:rsidRDefault="007651EC" w:rsidP="007651EC">
            <w:pPr>
              <w:rPr>
                <w:b/>
              </w:rPr>
            </w:pPr>
            <w:r>
              <w:t>How will the service level agreement include self-referral provision? – Confirmation of funding: this may need to be moved from another service area – Has a Quality Impact Assessment been completed?</w:t>
            </w:r>
          </w:p>
          <w:p w14:paraId="3BB12EE7" w14:textId="77777777" w:rsidR="007651EC" w:rsidRPr="008E10BD" w:rsidRDefault="007651EC" w:rsidP="00FA69F4"/>
        </w:tc>
        <w:tc>
          <w:tcPr>
            <w:tcW w:w="3340" w:type="dxa"/>
          </w:tcPr>
          <w:p w14:paraId="17612D9C" w14:textId="77777777" w:rsidR="007651EC" w:rsidRDefault="007651EC" w:rsidP="00987C1E">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061F7D69" w14:textId="77777777" w:rsidR="007651EC" w:rsidRDefault="007651EC" w:rsidP="005C474D"/>
        </w:tc>
        <w:tc>
          <w:tcPr>
            <w:tcW w:w="2654" w:type="dxa"/>
          </w:tcPr>
          <w:p w14:paraId="011AE06B" w14:textId="77777777" w:rsidR="007651EC" w:rsidRDefault="007651EC" w:rsidP="005C474D">
            <w:pPr>
              <w:cnfStyle w:val="000000000000" w:firstRow="0" w:lastRow="0" w:firstColumn="0" w:lastColumn="0" w:oddVBand="0" w:evenVBand="0" w:oddHBand="0" w:evenHBand="0" w:firstRowFirstColumn="0" w:firstRowLastColumn="0" w:lastRowFirstColumn="0" w:lastRowLastColumn="0"/>
            </w:pPr>
          </w:p>
        </w:tc>
      </w:tr>
      <w:tr w:rsidR="007651EC" w14:paraId="173CEBAA"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C0E9D86" w14:textId="26952A2A" w:rsidR="000F4F40" w:rsidRPr="007651EC" w:rsidRDefault="007651EC" w:rsidP="00FA69F4">
            <w:r w:rsidRPr="007651EC">
              <w:lastRenderedPageBreak/>
              <w:t>3.</w:t>
            </w:r>
            <w:r>
              <w:t>2</w:t>
            </w:r>
          </w:p>
        </w:tc>
        <w:tc>
          <w:tcPr>
            <w:cnfStyle w:val="000010000000" w:firstRow="0" w:lastRow="0" w:firstColumn="0" w:lastColumn="0" w:oddVBand="1" w:evenVBand="0" w:oddHBand="0" w:evenHBand="0" w:firstRowFirstColumn="0" w:firstRowLastColumn="0" w:lastRowFirstColumn="0" w:lastRowLastColumn="0"/>
            <w:tcW w:w="4859" w:type="dxa"/>
          </w:tcPr>
          <w:p w14:paraId="01D4DAA7" w14:textId="544969E7" w:rsidR="000F4F40" w:rsidRPr="005A4C44" w:rsidRDefault="007651EC" w:rsidP="007651EC">
            <w:pPr>
              <w:rPr>
                <w:b/>
              </w:rPr>
            </w:pPr>
            <w:r>
              <w:t>Is a</w:t>
            </w:r>
            <w:r w:rsidR="000F4F40">
              <w:t>greement of where resources should be directed to ensure this process provides effective responses to service users</w:t>
            </w:r>
            <w:r>
              <w:t>?</w:t>
            </w:r>
          </w:p>
        </w:tc>
        <w:tc>
          <w:tcPr>
            <w:tcW w:w="3340" w:type="dxa"/>
          </w:tcPr>
          <w:p w14:paraId="5DD4ED44" w14:textId="64DDD18E" w:rsidR="000F4F40" w:rsidRDefault="000F4F40" w:rsidP="00987C1E">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4C9F372D" w14:textId="77777777" w:rsidR="000F4F40" w:rsidRDefault="000F4F40" w:rsidP="005C474D"/>
        </w:tc>
        <w:tc>
          <w:tcPr>
            <w:tcW w:w="2654" w:type="dxa"/>
          </w:tcPr>
          <w:p w14:paraId="1314924A"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02F48B8B"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4A7D8124" w14:textId="0207BF6D" w:rsidR="000F4F40" w:rsidRPr="008E10BD" w:rsidRDefault="007651EC" w:rsidP="00FA69F4">
            <w:r>
              <w:t xml:space="preserve">3.3 </w:t>
            </w:r>
          </w:p>
        </w:tc>
        <w:tc>
          <w:tcPr>
            <w:cnfStyle w:val="000010000000" w:firstRow="0" w:lastRow="0" w:firstColumn="0" w:lastColumn="0" w:oddVBand="1" w:evenVBand="0" w:oddHBand="0" w:evenHBand="0" w:firstRowFirstColumn="0" w:firstRowLastColumn="0" w:lastRowFirstColumn="0" w:lastRowLastColumn="0"/>
            <w:tcW w:w="4859" w:type="dxa"/>
          </w:tcPr>
          <w:p w14:paraId="7264CFA1" w14:textId="50027F45" w:rsidR="000F4F40" w:rsidRPr="008E10BD" w:rsidRDefault="000F4F40" w:rsidP="00FA69F4">
            <w:r w:rsidRPr="008E10BD">
              <w:t>Service users</w:t>
            </w:r>
            <w:r w:rsidR="007651EC">
              <w:t>:</w:t>
            </w:r>
          </w:p>
          <w:p w14:paraId="5C3D4A37" w14:textId="7669114A" w:rsidR="000F4F40" w:rsidRPr="005A4C44" w:rsidRDefault="000F4F40" w:rsidP="007651EC">
            <w:pPr>
              <w:rPr>
                <w:b/>
              </w:rPr>
            </w:pPr>
            <w:r>
              <w:t>How have service users been involved in the development of a self-referral process?</w:t>
            </w:r>
          </w:p>
        </w:tc>
        <w:tc>
          <w:tcPr>
            <w:tcW w:w="3340" w:type="dxa"/>
          </w:tcPr>
          <w:p w14:paraId="36550B21"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7798C115" w14:textId="77777777" w:rsidR="000F4F40" w:rsidRDefault="000F4F40" w:rsidP="005C474D"/>
        </w:tc>
        <w:tc>
          <w:tcPr>
            <w:tcW w:w="2654" w:type="dxa"/>
          </w:tcPr>
          <w:p w14:paraId="3A344980"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5356B2A7"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07F46D42" w14:textId="05580BF4" w:rsidR="000F4F40" w:rsidRDefault="007651EC" w:rsidP="00FA69F4">
            <w:r>
              <w:t xml:space="preserve">3.4 </w:t>
            </w:r>
          </w:p>
        </w:tc>
        <w:tc>
          <w:tcPr>
            <w:cnfStyle w:val="000010000000" w:firstRow="0" w:lastRow="0" w:firstColumn="0" w:lastColumn="0" w:oddVBand="1" w:evenVBand="0" w:oddHBand="0" w:evenHBand="0" w:firstRowFirstColumn="0" w:firstRowLastColumn="0" w:lastRowFirstColumn="0" w:lastRowLastColumn="0"/>
            <w:tcW w:w="4859" w:type="dxa"/>
          </w:tcPr>
          <w:p w14:paraId="0020D09A" w14:textId="5A9960E5" w:rsidR="000F4F40" w:rsidRDefault="000F4F40" w:rsidP="00FA69F4">
            <w:r>
              <w:t>Service user support groups</w:t>
            </w:r>
            <w:r w:rsidR="007651EC">
              <w:t>:</w:t>
            </w:r>
          </w:p>
          <w:p w14:paraId="252C8BAA" w14:textId="77777777" w:rsidR="000F4F40" w:rsidRDefault="000F4F40" w:rsidP="00FA69F4">
            <w:pPr>
              <w:rPr>
                <w:b/>
              </w:rPr>
            </w:pPr>
            <w:r>
              <w:t>What support systems currently exist within the area that could work in partnership with CAMHS to support all service users who contact CAMHS?</w:t>
            </w:r>
          </w:p>
          <w:p w14:paraId="4F40C69B" w14:textId="6C07F76A" w:rsidR="000F4F40" w:rsidRPr="003E724A" w:rsidRDefault="000F4F40" w:rsidP="00FA69F4">
            <w:pPr>
              <w:rPr>
                <w:b/>
              </w:rPr>
            </w:pPr>
            <w:r>
              <w:t>Do we need to liaise with groups such as ‘Roller Coaster’ in Co Durham and Darlington to look at good practice?</w:t>
            </w:r>
          </w:p>
        </w:tc>
        <w:tc>
          <w:tcPr>
            <w:tcW w:w="3340" w:type="dxa"/>
          </w:tcPr>
          <w:p w14:paraId="03100FF0"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1A4025AF" w14:textId="77777777" w:rsidR="000F4F40" w:rsidRDefault="000F4F40" w:rsidP="005C474D"/>
        </w:tc>
        <w:tc>
          <w:tcPr>
            <w:tcW w:w="2654" w:type="dxa"/>
          </w:tcPr>
          <w:p w14:paraId="29F26699"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r w:rsidR="007651EC" w14:paraId="768CDBF7" w14:textId="77777777" w:rsidTr="001F4254">
        <w:tc>
          <w:tcPr>
            <w:cnfStyle w:val="001000000000" w:firstRow="0" w:lastRow="0" w:firstColumn="1" w:lastColumn="0" w:oddVBand="0" w:evenVBand="0" w:oddHBand="0" w:evenHBand="0" w:firstRowFirstColumn="0" w:firstRowLastColumn="0" w:lastRowFirstColumn="0" w:lastRowLastColumn="0"/>
            <w:tcW w:w="505" w:type="dxa"/>
          </w:tcPr>
          <w:p w14:paraId="50DAFDF0" w14:textId="7A9288EE" w:rsidR="000F4F40" w:rsidRDefault="007651EC" w:rsidP="00FA69F4">
            <w:r>
              <w:t>3.5</w:t>
            </w:r>
          </w:p>
        </w:tc>
        <w:tc>
          <w:tcPr>
            <w:cnfStyle w:val="000010000000" w:firstRow="0" w:lastRow="0" w:firstColumn="0" w:lastColumn="0" w:oddVBand="1" w:evenVBand="0" w:oddHBand="0" w:evenHBand="0" w:firstRowFirstColumn="0" w:firstRowLastColumn="0" w:lastRowFirstColumn="0" w:lastRowLastColumn="0"/>
            <w:tcW w:w="4859" w:type="dxa"/>
          </w:tcPr>
          <w:p w14:paraId="51612D25" w14:textId="7B52397B" w:rsidR="000F4F40" w:rsidRDefault="000F4F40" w:rsidP="00FA69F4">
            <w:r>
              <w:t>Inclusion of s</w:t>
            </w:r>
            <w:r w:rsidRPr="008E10BD">
              <w:t xml:space="preserve">ervices </w:t>
            </w:r>
            <w:r>
              <w:t xml:space="preserve">additional to CAMHS </w:t>
            </w:r>
            <w:r w:rsidRPr="008E10BD">
              <w:t>providing mental health interventions</w:t>
            </w:r>
            <w:r w:rsidR="007651EC">
              <w:t>:</w:t>
            </w:r>
          </w:p>
          <w:p w14:paraId="6D9A5B28" w14:textId="0876A881" w:rsidR="000F4F40" w:rsidRPr="005A4C44" w:rsidRDefault="000F4F40" w:rsidP="007651EC">
            <w:pPr>
              <w:rPr>
                <w:b/>
              </w:rPr>
            </w:pPr>
            <w:r>
              <w:t>How do we assure sign-up to the extended pathway for mental health provision outside of CAMHS that meet the requirements of Future in Mind (FiM) to ensure that response to ‘crisis’ identified by service users is provided when CAMHS is not required, or when a multi-agency response is required?</w:t>
            </w:r>
          </w:p>
        </w:tc>
        <w:tc>
          <w:tcPr>
            <w:tcW w:w="3340" w:type="dxa"/>
          </w:tcPr>
          <w:p w14:paraId="55A8087D" w14:textId="19276CFD" w:rsidR="000F4F40" w:rsidRDefault="000F4F40" w:rsidP="005C474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2A5A8019" w14:textId="77777777" w:rsidR="000F4F40" w:rsidRDefault="000F4F40" w:rsidP="005C474D"/>
        </w:tc>
        <w:tc>
          <w:tcPr>
            <w:tcW w:w="2654" w:type="dxa"/>
          </w:tcPr>
          <w:p w14:paraId="6CF10D01" w14:textId="77777777" w:rsidR="000F4F40" w:rsidRDefault="000F4F40" w:rsidP="005C474D">
            <w:pPr>
              <w:cnfStyle w:val="000000000000" w:firstRow="0" w:lastRow="0" w:firstColumn="0" w:lastColumn="0" w:oddVBand="0" w:evenVBand="0" w:oddHBand="0" w:evenHBand="0" w:firstRowFirstColumn="0" w:firstRowLastColumn="0" w:lastRowFirstColumn="0" w:lastRowLastColumn="0"/>
            </w:pPr>
          </w:p>
        </w:tc>
      </w:tr>
      <w:tr w:rsidR="007651EC" w14:paraId="5178580B" w14:textId="77777777" w:rsidTr="001F4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24BD84E9" w14:textId="55D6D2A7" w:rsidR="000F4F40" w:rsidRDefault="007651EC" w:rsidP="00FA69F4">
            <w:r>
              <w:t>3.6</w:t>
            </w:r>
          </w:p>
        </w:tc>
        <w:tc>
          <w:tcPr>
            <w:cnfStyle w:val="000010000000" w:firstRow="0" w:lastRow="0" w:firstColumn="0" w:lastColumn="0" w:oddVBand="1" w:evenVBand="0" w:oddHBand="0" w:evenHBand="0" w:firstRowFirstColumn="0" w:firstRowLastColumn="0" w:lastRowFirstColumn="0" w:lastRowLastColumn="0"/>
            <w:tcW w:w="4859" w:type="dxa"/>
          </w:tcPr>
          <w:p w14:paraId="77754D41" w14:textId="77777777" w:rsidR="007651EC" w:rsidRDefault="000F4F40" w:rsidP="007651EC">
            <w:r>
              <w:t>Involvement/sign up from referrers</w:t>
            </w:r>
            <w:r w:rsidR="007651EC">
              <w:t>:</w:t>
            </w:r>
          </w:p>
          <w:p w14:paraId="516F928C" w14:textId="202CF30F" w:rsidR="000F4F40" w:rsidRPr="00DD406C" w:rsidRDefault="000F4F40" w:rsidP="007651EC">
            <w:pPr>
              <w:rPr>
                <w:b/>
              </w:rPr>
            </w:pPr>
            <w:r w:rsidRPr="00DD406C">
              <w:t>How will we involve referrers such as GP’s whose current consultation proce</w:t>
            </w:r>
            <w:r>
              <w:t xml:space="preserve">sses are limited?  Do we need to </w:t>
            </w:r>
          </w:p>
        </w:tc>
        <w:tc>
          <w:tcPr>
            <w:tcW w:w="3340" w:type="dxa"/>
          </w:tcPr>
          <w:p w14:paraId="4055E2BF"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041" w:type="dxa"/>
            <w:gridSpan w:val="2"/>
          </w:tcPr>
          <w:p w14:paraId="39E883B7" w14:textId="77777777" w:rsidR="000F4F40" w:rsidRDefault="000F4F40" w:rsidP="005C474D"/>
        </w:tc>
        <w:tc>
          <w:tcPr>
            <w:tcW w:w="2654" w:type="dxa"/>
          </w:tcPr>
          <w:p w14:paraId="2811E484" w14:textId="77777777" w:rsidR="000F4F40" w:rsidRDefault="000F4F40" w:rsidP="005C474D">
            <w:pPr>
              <w:cnfStyle w:val="000000100000" w:firstRow="0" w:lastRow="0" w:firstColumn="0" w:lastColumn="0" w:oddVBand="0" w:evenVBand="0" w:oddHBand="1" w:evenHBand="0" w:firstRowFirstColumn="0" w:firstRowLastColumn="0" w:lastRowFirstColumn="0" w:lastRowLastColumn="0"/>
            </w:pPr>
          </w:p>
        </w:tc>
      </w:tr>
    </w:tbl>
    <w:p w14:paraId="1E7E3905" w14:textId="7BA9D060" w:rsidR="008D71F8" w:rsidRDefault="008D71F8">
      <w:pPr>
        <w:rPr>
          <w:rFonts w:eastAsiaTheme="majorEastAsia" w:cstheme="majorBidi"/>
          <w:b/>
          <w:bCs/>
          <w:color w:val="800080"/>
          <w:sz w:val="32"/>
          <w:szCs w:val="32"/>
        </w:rPr>
      </w:pPr>
    </w:p>
    <w:p w14:paraId="3CABF0FB" w14:textId="4E397205" w:rsidR="00C92687" w:rsidRDefault="00C92687">
      <w:pPr>
        <w:rPr>
          <w:rFonts w:eastAsiaTheme="majorEastAsia" w:cstheme="majorBidi"/>
          <w:b/>
          <w:bCs/>
          <w:color w:val="800080"/>
          <w:sz w:val="32"/>
          <w:szCs w:val="32"/>
        </w:rPr>
      </w:pPr>
    </w:p>
    <w:tbl>
      <w:tblPr>
        <w:tblStyle w:val="LightList-Accent4"/>
        <w:tblW w:w="0" w:type="auto"/>
        <w:tblInd w:w="-459" w:type="dxa"/>
        <w:tblLook w:val="00A0" w:firstRow="1" w:lastRow="0" w:firstColumn="1" w:lastColumn="0" w:noHBand="0" w:noVBand="0"/>
      </w:tblPr>
      <w:tblGrid>
        <w:gridCol w:w="9380"/>
        <w:gridCol w:w="2551"/>
        <w:gridCol w:w="2468"/>
      </w:tblGrid>
      <w:tr w:rsidR="00D23343" w14:paraId="28A452AF" w14:textId="77777777" w:rsidTr="003A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9" w:type="dxa"/>
            <w:gridSpan w:val="3"/>
            <w:shd w:val="clear" w:color="auto" w:fill="FAABC9" w:themeFill="accent3" w:themeFillTint="66"/>
            <w:vAlign w:val="center"/>
          </w:tcPr>
          <w:p w14:paraId="1C4521B1" w14:textId="45806B31" w:rsidR="00D23343" w:rsidRPr="003A67FE" w:rsidRDefault="00D23343" w:rsidP="003A67FE">
            <w:pPr>
              <w:jc w:val="center"/>
              <w:rPr>
                <w:b w:val="0"/>
                <w:bCs w:val="0"/>
                <w:color w:val="000000" w:themeColor="text1"/>
              </w:rPr>
            </w:pPr>
            <w:r w:rsidRPr="003A67FE">
              <w:rPr>
                <w:color w:val="000000" w:themeColor="text1"/>
              </w:rPr>
              <w:t>Action Plan</w:t>
            </w:r>
          </w:p>
          <w:p w14:paraId="37789978" w14:textId="70119675" w:rsidR="00D23343" w:rsidRDefault="00D23343" w:rsidP="00E67040">
            <w:pPr>
              <w:jc w:val="center"/>
            </w:pPr>
          </w:p>
        </w:tc>
      </w:tr>
      <w:tr w:rsidR="00D23343" w14:paraId="6D1B3C28" w14:textId="77777777" w:rsidTr="003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0" w:type="dxa"/>
            <w:shd w:val="clear" w:color="auto" w:fill="FAABC9" w:themeFill="accent3" w:themeFillTint="66"/>
            <w:vAlign w:val="center"/>
          </w:tcPr>
          <w:p w14:paraId="16B2FC58" w14:textId="1B784996" w:rsidR="00D23343" w:rsidRDefault="00D23343" w:rsidP="00E67040">
            <w:pPr>
              <w:jc w:val="center"/>
            </w:pPr>
            <w:r>
              <w:t>Next Steps needed</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FAABC9" w:themeFill="accent3" w:themeFillTint="66"/>
            <w:vAlign w:val="center"/>
          </w:tcPr>
          <w:p w14:paraId="6B87773C" w14:textId="7E9EFAAB" w:rsidR="00D23343" w:rsidRPr="00D23343" w:rsidRDefault="003A67FE" w:rsidP="00E67040">
            <w:pPr>
              <w:jc w:val="center"/>
              <w:rPr>
                <w:b/>
              </w:rPr>
            </w:pPr>
            <w:r>
              <w:rPr>
                <w:b/>
              </w:rPr>
              <w:t xml:space="preserve">Person responsible </w:t>
            </w:r>
          </w:p>
        </w:tc>
        <w:tc>
          <w:tcPr>
            <w:tcW w:w="2468" w:type="dxa"/>
            <w:shd w:val="clear" w:color="auto" w:fill="FAABC9" w:themeFill="accent3" w:themeFillTint="66"/>
          </w:tcPr>
          <w:p w14:paraId="46F62CA3" w14:textId="31F72BA2" w:rsidR="00D23343" w:rsidRPr="00D23343" w:rsidRDefault="003A67FE" w:rsidP="00E67040">
            <w:pPr>
              <w:jc w:val="center"/>
              <w:cnfStyle w:val="000000100000" w:firstRow="0" w:lastRow="0" w:firstColumn="0" w:lastColumn="0" w:oddVBand="0" w:evenVBand="0" w:oddHBand="1" w:evenHBand="0" w:firstRowFirstColumn="0" w:firstRowLastColumn="0" w:lastRowFirstColumn="0" w:lastRowLastColumn="0"/>
              <w:rPr>
                <w:b/>
              </w:rPr>
            </w:pPr>
            <w:r>
              <w:rPr>
                <w:b/>
              </w:rPr>
              <w:t xml:space="preserve">To be completed by – Date </w:t>
            </w:r>
          </w:p>
        </w:tc>
      </w:tr>
      <w:tr w:rsidR="00C92687" w14:paraId="7CF995CC" w14:textId="77777777" w:rsidTr="003A67FE">
        <w:trPr>
          <w:trHeight w:val="698"/>
        </w:trPr>
        <w:tc>
          <w:tcPr>
            <w:cnfStyle w:val="001000000000" w:firstRow="0" w:lastRow="0" w:firstColumn="1" w:lastColumn="0" w:oddVBand="0" w:evenVBand="0" w:oddHBand="0" w:evenHBand="0" w:firstRowFirstColumn="0" w:firstRowLastColumn="0" w:lastRowFirstColumn="0" w:lastRowLastColumn="0"/>
            <w:tcW w:w="9380" w:type="dxa"/>
          </w:tcPr>
          <w:p w14:paraId="1B8D2894" w14:textId="77777777" w:rsidR="00C92687" w:rsidRDefault="00C92687" w:rsidP="00E67040">
            <w:pPr>
              <w:rPr>
                <w:b w:val="0"/>
              </w:rPr>
            </w:pPr>
          </w:p>
          <w:p w14:paraId="115A6BDE" w14:textId="77777777" w:rsidR="00C92687" w:rsidRDefault="00C92687" w:rsidP="00E67040">
            <w:pPr>
              <w:rPr>
                <w:b w:val="0"/>
              </w:rPr>
            </w:pPr>
          </w:p>
          <w:p w14:paraId="2A399E3B" w14:textId="77777777" w:rsidR="00C92687" w:rsidRPr="00954238" w:rsidRDefault="00C92687"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F781120" w14:textId="77777777" w:rsidR="00C92687" w:rsidRDefault="00C92687" w:rsidP="00E67040"/>
        </w:tc>
        <w:tc>
          <w:tcPr>
            <w:tcW w:w="2468" w:type="dxa"/>
          </w:tcPr>
          <w:p w14:paraId="3C35F4B5" w14:textId="77777777" w:rsidR="00C92687" w:rsidRDefault="00C92687" w:rsidP="00E67040">
            <w:pPr>
              <w:cnfStyle w:val="000000000000" w:firstRow="0" w:lastRow="0" w:firstColumn="0" w:lastColumn="0" w:oddVBand="0" w:evenVBand="0" w:oddHBand="0" w:evenHBand="0" w:firstRowFirstColumn="0" w:firstRowLastColumn="0" w:lastRowFirstColumn="0" w:lastRowLastColumn="0"/>
            </w:pPr>
          </w:p>
        </w:tc>
      </w:tr>
      <w:tr w:rsidR="00C92687" w14:paraId="014DFA8D" w14:textId="77777777" w:rsidTr="003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0" w:type="dxa"/>
          </w:tcPr>
          <w:p w14:paraId="0DF4AF58" w14:textId="77777777" w:rsidR="00C92687" w:rsidRDefault="00C92687" w:rsidP="00E67040">
            <w:pPr>
              <w:rPr>
                <w:b w:val="0"/>
              </w:rPr>
            </w:pPr>
          </w:p>
          <w:p w14:paraId="4D595E7B" w14:textId="77777777" w:rsidR="00C92687" w:rsidRDefault="00C92687" w:rsidP="00E67040">
            <w:pPr>
              <w:rPr>
                <w:b w:val="0"/>
              </w:rPr>
            </w:pPr>
          </w:p>
          <w:p w14:paraId="788A8170" w14:textId="77777777" w:rsidR="00C92687" w:rsidRPr="00954238" w:rsidRDefault="00C92687"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494ABA8" w14:textId="77777777" w:rsidR="00C92687" w:rsidRDefault="00C92687" w:rsidP="00E67040"/>
        </w:tc>
        <w:tc>
          <w:tcPr>
            <w:tcW w:w="2468" w:type="dxa"/>
          </w:tcPr>
          <w:p w14:paraId="068A438C" w14:textId="77777777" w:rsidR="00C92687" w:rsidRDefault="00C92687" w:rsidP="00E67040">
            <w:pPr>
              <w:cnfStyle w:val="000000100000" w:firstRow="0" w:lastRow="0" w:firstColumn="0" w:lastColumn="0" w:oddVBand="0" w:evenVBand="0" w:oddHBand="1" w:evenHBand="0" w:firstRowFirstColumn="0" w:firstRowLastColumn="0" w:lastRowFirstColumn="0" w:lastRowLastColumn="0"/>
            </w:pPr>
          </w:p>
        </w:tc>
      </w:tr>
      <w:tr w:rsidR="003A67FE" w14:paraId="25191170" w14:textId="77777777" w:rsidTr="003A67FE">
        <w:trPr>
          <w:trHeight w:val="1022"/>
        </w:trPr>
        <w:tc>
          <w:tcPr>
            <w:cnfStyle w:val="001000000000" w:firstRow="0" w:lastRow="0" w:firstColumn="1" w:lastColumn="0" w:oddVBand="0" w:evenVBand="0" w:oddHBand="0" w:evenHBand="0" w:firstRowFirstColumn="0" w:firstRowLastColumn="0" w:lastRowFirstColumn="0" w:lastRowLastColumn="0"/>
            <w:tcW w:w="9380" w:type="dxa"/>
          </w:tcPr>
          <w:p w14:paraId="2791988A" w14:textId="77777777"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71BF3A9E" w14:textId="77777777" w:rsidR="003A67FE" w:rsidRDefault="003A67FE" w:rsidP="00E67040"/>
          <w:p w14:paraId="5038B303" w14:textId="77777777" w:rsidR="003A67FE" w:rsidRDefault="003A67FE" w:rsidP="00E67040"/>
          <w:p w14:paraId="2A385E6C" w14:textId="77777777" w:rsidR="003A67FE" w:rsidRDefault="003A67FE" w:rsidP="00E67040"/>
        </w:tc>
        <w:tc>
          <w:tcPr>
            <w:tcW w:w="2468" w:type="dxa"/>
          </w:tcPr>
          <w:p w14:paraId="4F8B1107" w14:textId="77777777" w:rsidR="003A67FE" w:rsidRDefault="003A67FE" w:rsidP="00E67040">
            <w:pPr>
              <w:cnfStyle w:val="000000000000" w:firstRow="0" w:lastRow="0" w:firstColumn="0" w:lastColumn="0" w:oddVBand="0" w:evenVBand="0" w:oddHBand="0" w:evenHBand="0" w:firstRowFirstColumn="0" w:firstRowLastColumn="0" w:lastRowFirstColumn="0" w:lastRowLastColumn="0"/>
            </w:pPr>
          </w:p>
        </w:tc>
      </w:tr>
      <w:tr w:rsidR="003A67FE" w14:paraId="467C49B7" w14:textId="77777777" w:rsidTr="00A5536A">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9380" w:type="dxa"/>
          </w:tcPr>
          <w:p w14:paraId="6AC5FD6C" w14:textId="77777777"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48980315" w14:textId="77777777" w:rsidR="003A67FE" w:rsidRDefault="003A67FE" w:rsidP="00E67040"/>
        </w:tc>
        <w:tc>
          <w:tcPr>
            <w:tcW w:w="2468" w:type="dxa"/>
          </w:tcPr>
          <w:p w14:paraId="0ABB175F" w14:textId="77777777" w:rsidR="003A67FE" w:rsidRDefault="003A67FE" w:rsidP="00E67040">
            <w:pPr>
              <w:cnfStyle w:val="000000100000" w:firstRow="0" w:lastRow="0" w:firstColumn="0" w:lastColumn="0" w:oddVBand="0" w:evenVBand="0" w:oddHBand="1" w:evenHBand="0" w:firstRowFirstColumn="0" w:firstRowLastColumn="0" w:lastRowFirstColumn="0" w:lastRowLastColumn="0"/>
            </w:pPr>
          </w:p>
        </w:tc>
      </w:tr>
      <w:tr w:rsidR="003A67FE" w14:paraId="5A55554B" w14:textId="77777777" w:rsidTr="003A67FE">
        <w:tc>
          <w:tcPr>
            <w:cnfStyle w:val="001000000000" w:firstRow="0" w:lastRow="0" w:firstColumn="1" w:lastColumn="0" w:oddVBand="0" w:evenVBand="0" w:oddHBand="0" w:evenHBand="0" w:firstRowFirstColumn="0" w:firstRowLastColumn="0" w:lastRowFirstColumn="0" w:lastRowLastColumn="0"/>
            <w:tcW w:w="9380" w:type="dxa"/>
          </w:tcPr>
          <w:p w14:paraId="30AC7CE6" w14:textId="77777777" w:rsidR="003A67FE" w:rsidRDefault="003A67FE" w:rsidP="00E67040">
            <w:pPr>
              <w:rPr>
                <w:b w:val="0"/>
              </w:rPr>
            </w:pPr>
          </w:p>
          <w:p w14:paraId="5CA71827" w14:textId="77777777" w:rsidR="003A67FE" w:rsidRDefault="003A67FE" w:rsidP="00E67040">
            <w:pPr>
              <w:rPr>
                <w:b w:val="0"/>
              </w:rPr>
            </w:pPr>
          </w:p>
          <w:p w14:paraId="0CD71276" w14:textId="77777777" w:rsidR="003A67FE" w:rsidRDefault="003A67FE" w:rsidP="00E67040">
            <w:pPr>
              <w:rPr>
                <w:b w:val="0"/>
              </w:rPr>
            </w:pPr>
          </w:p>
          <w:p w14:paraId="0DF167E0" w14:textId="77777777" w:rsidR="003A67FE" w:rsidRDefault="003A67FE" w:rsidP="00E67040">
            <w:pPr>
              <w:rPr>
                <w:b w:val="0"/>
              </w:rPr>
            </w:pPr>
          </w:p>
          <w:p w14:paraId="01F66AC4" w14:textId="29B132AA" w:rsidR="003A67FE" w:rsidRDefault="003A67FE" w:rsidP="00E67040">
            <w:pPr>
              <w:rPr>
                <w:b w:val="0"/>
              </w:rPr>
            </w:pPr>
          </w:p>
        </w:tc>
        <w:tc>
          <w:tcPr>
            <w:cnfStyle w:val="000010000000" w:firstRow="0" w:lastRow="0" w:firstColumn="0" w:lastColumn="0" w:oddVBand="1" w:evenVBand="0" w:oddHBand="0" w:evenHBand="0" w:firstRowFirstColumn="0" w:firstRowLastColumn="0" w:lastRowFirstColumn="0" w:lastRowLastColumn="0"/>
            <w:tcW w:w="2551" w:type="dxa"/>
          </w:tcPr>
          <w:p w14:paraId="656A9F18" w14:textId="77777777" w:rsidR="003A67FE" w:rsidRDefault="003A67FE" w:rsidP="00E67040"/>
        </w:tc>
        <w:tc>
          <w:tcPr>
            <w:tcW w:w="2468" w:type="dxa"/>
          </w:tcPr>
          <w:p w14:paraId="466636E9" w14:textId="77777777" w:rsidR="003A67FE" w:rsidRDefault="003A67FE" w:rsidP="00E67040">
            <w:pPr>
              <w:cnfStyle w:val="000000000000" w:firstRow="0" w:lastRow="0" w:firstColumn="0" w:lastColumn="0" w:oddVBand="0" w:evenVBand="0" w:oddHBand="0" w:evenHBand="0" w:firstRowFirstColumn="0" w:firstRowLastColumn="0" w:lastRowFirstColumn="0" w:lastRowLastColumn="0"/>
            </w:pPr>
          </w:p>
        </w:tc>
      </w:tr>
    </w:tbl>
    <w:p w14:paraId="0CD80934" w14:textId="77777777" w:rsidR="00C92687" w:rsidRDefault="00C92687">
      <w:pPr>
        <w:rPr>
          <w:rFonts w:eastAsiaTheme="majorEastAsia" w:cstheme="majorBidi"/>
          <w:b/>
          <w:bCs/>
          <w:color w:val="800080"/>
          <w:sz w:val="32"/>
          <w:szCs w:val="32"/>
        </w:rPr>
      </w:pPr>
    </w:p>
    <w:sectPr w:rsidR="00C92687" w:rsidSect="00D961BD">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3D5DD" w14:textId="77777777" w:rsidR="00D902A5" w:rsidRDefault="00D902A5" w:rsidP="002C17FE">
      <w:r>
        <w:separator/>
      </w:r>
    </w:p>
  </w:endnote>
  <w:endnote w:type="continuationSeparator" w:id="0">
    <w:p w14:paraId="01D956E2" w14:textId="77777777" w:rsidR="00D902A5" w:rsidRDefault="00D902A5" w:rsidP="002C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F405" w14:textId="77777777" w:rsidR="00BE7D67" w:rsidRDefault="00BE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76688"/>
      <w:docPartObj>
        <w:docPartGallery w:val="Page Numbers (Bottom of Page)"/>
        <w:docPartUnique/>
      </w:docPartObj>
    </w:sdtPr>
    <w:sdtEndPr>
      <w:rPr>
        <w:noProof/>
      </w:rPr>
    </w:sdtEndPr>
    <w:sdtContent>
      <w:p w14:paraId="5DE94F11" w14:textId="37C31FA8" w:rsidR="00CA7E3F" w:rsidRDefault="00CA7E3F">
        <w:pPr>
          <w:pStyle w:val="Footer"/>
          <w:jc w:val="right"/>
        </w:pPr>
        <w:r>
          <w:fldChar w:fldCharType="begin"/>
        </w:r>
        <w:r>
          <w:instrText xml:space="preserve"> PAGE   \* MERGEFORMAT </w:instrText>
        </w:r>
        <w:r>
          <w:fldChar w:fldCharType="separate"/>
        </w:r>
        <w:r w:rsidR="002E6CBE">
          <w:rPr>
            <w:noProof/>
          </w:rPr>
          <w:t>6</w:t>
        </w:r>
        <w:r>
          <w:rPr>
            <w:noProof/>
          </w:rPr>
          <w:fldChar w:fldCharType="end"/>
        </w:r>
        <w:r w:rsidR="00A56055">
          <w:rPr>
            <w:noProof/>
          </w:rPr>
          <w:t xml:space="preserve"> </w:t>
        </w:r>
        <w:r w:rsidR="00BE7D67">
          <w:rPr>
            <w:noProof/>
          </w:rPr>
          <w:t>of 5</w:t>
        </w:r>
      </w:p>
    </w:sdtContent>
  </w:sdt>
  <w:p w14:paraId="29B0EE39" w14:textId="77777777" w:rsidR="00CA7E3F" w:rsidRDefault="00CA7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9A01" w14:textId="77777777" w:rsidR="00BE7D67" w:rsidRDefault="00BE7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4CE9" w14:textId="77777777" w:rsidR="00D902A5" w:rsidRDefault="00D902A5" w:rsidP="002C17FE">
      <w:r>
        <w:separator/>
      </w:r>
    </w:p>
  </w:footnote>
  <w:footnote w:type="continuationSeparator" w:id="0">
    <w:p w14:paraId="10AC8816" w14:textId="77777777" w:rsidR="00D902A5" w:rsidRDefault="00D902A5" w:rsidP="002C1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9AD0" w14:textId="77777777" w:rsidR="00BE7D67" w:rsidRDefault="00BE7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05A5" w14:textId="363F0932" w:rsidR="007C5A4A" w:rsidRDefault="007C5A4A" w:rsidP="002C17FE">
    <w:pPr>
      <w:pStyle w:val="Header"/>
      <w:jc w:val="right"/>
    </w:pPr>
    <w:r w:rsidRPr="00927160">
      <w:rPr>
        <w:rFonts w:ascii="Calibri" w:eastAsia="Times New Roman" w:hAnsi="Calibri" w:cs="Times New Roman"/>
        <w:b/>
        <w:bCs/>
        <w:noProof/>
        <w:kern w:val="32"/>
        <w:sz w:val="32"/>
        <w:szCs w:val="32"/>
        <w:lang w:eastAsia="en-GB"/>
      </w:rPr>
      <w:drawing>
        <wp:inline distT="0" distB="0" distL="0" distR="0" wp14:anchorId="2B509FC7" wp14:editId="4F0E5C40">
          <wp:extent cx="3522134" cy="1045880"/>
          <wp:effectExtent l="0" t="0" r="2540" b="1905"/>
          <wp:docPr id="1" name="Picture 1" descr="C:\Users\Jane Sedgewick\AppData\Local\Microsoft\Windows\INetCache\Content.Outlook\OUQLELJZ\CYP IAPT 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Sedgewick\AppData\Local\Microsoft\Windows\INetCache\Content.Outlook\OUQLELJZ\CYP IAPT logo (0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4702" cy="10496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CB74" w14:textId="77777777" w:rsidR="00BE7D67" w:rsidRDefault="00BE7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A4E38"/>
    <w:multiLevelType w:val="hybridMultilevel"/>
    <w:tmpl w:val="39F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2075"/>
    <w:multiLevelType w:val="hybridMultilevel"/>
    <w:tmpl w:val="C970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C4A61"/>
    <w:multiLevelType w:val="hybridMultilevel"/>
    <w:tmpl w:val="672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E6E99"/>
    <w:multiLevelType w:val="hybridMultilevel"/>
    <w:tmpl w:val="2B2A3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58"/>
    <w:rsid w:val="0001096F"/>
    <w:rsid w:val="00014862"/>
    <w:rsid w:val="00025FDE"/>
    <w:rsid w:val="00026165"/>
    <w:rsid w:val="00027AAD"/>
    <w:rsid w:val="000324B9"/>
    <w:rsid w:val="0004659D"/>
    <w:rsid w:val="00097962"/>
    <w:rsid w:val="000A182D"/>
    <w:rsid w:val="000A70BA"/>
    <w:rsid w:val="000B42AC"/>
    <w:rsid w:val="000B4FC1"/>
    <w:rsid w:val="000C6F64"/>
    <w:rsid w:val="000F4F40"/>
    <w:rsid w:val="001040C2"/>
    <w:rsid w:val="00104338"/>
    <w:rsid w:val="00123438"/>
    <w:rsid w:val="00126DCF"/>
    <w:rsid w:val="00130AD1"/>
    <w:rsid w:val="001935F8"/>
    <w:rsid w:val="001962E8"/>
    <w:rsid w:val="001B5BC5"/>
    <w:rsid w:val="001C255F"/>
    <w:rsid w:val="001C3BFA"/>
    <w:rsid w:val="001D5D9E"/>
    <w:rsid w:val="001E17E3"/>
    <w:rsid w:val="001F01A8"/>
    <w:rsid w:val="001F10B7"/>
    <w:rsid w:val="001F4254"/>
    <w:rsid w:val="001F4BFE"/>
    <w:rsid w:val="002455AE"/>
    <w:rsid w:val="00246B99"/>
    <w:rsid w:val="002509F9"/>
    <w:rsid w:val="00252A74"/>
    <w:rsid w:val="0027187D"/>
    <w:rsid w:val="002760BC"/>
    <w:rsid w:val="002918F2"/>
    <w:rsid w:val="002A280F"/>
    <w:rsid w:val="002B442A"/>
    <w:rsid w:val="002C17FE"/>
    <w:rsid w:val="002C6B93"/>
    <w:rsid w:val="002D1300"/>
    <w:rsid w:val="002E6CBE"/>
    <w:rsid w:val="002E7112"/>
    <w:rsid w:val="002F0144"/>
    <w:rsid w:val="002F1A30"/>
    <w:rsid w:val="00305D5C"/>
    <w:rsid w:val="0031777F"/>
    <w:rsid w:val="003422E1"/>
    <w:rsid w:val="00346ECB"/>
    <w:rsid w:val="0035493B"/>
    <w:rsid w:val="00362936"/>
    <w:rsid w:val="003630C6"/>
    <w:rsid w:val="00373B6C"/>
    <w:rsid w:val="003834F5"/>
    <w:rsid w:val="0038744E"/>
    <w:rsid w:val="003A67FE"/>
    <w:rsid w:val="003B5F4A"/>
    <w:rsid w:val="003B6087"/>
    <w:rsid w:val="003C5FEF"/>
    <w:rsid w:val="003C7B93"/>
    <w:rsid w:val="003C7DFB"/>
    <w:rsid w:val="003D320D"/>
    <w:rsid w:val="003D77B8"/>
    <w:rsid w:val="003E724A"/>
    <w:rsid w:val="00400337"/>
    <w:rsid w:val="004006EC"/>
    <w:rsid w:val="004147B3"/>
    <w:rsid w:val="0041680A"/>
    <w:rsid w:val="0042318D"/>
    <w:rsid w:val="004237E7"/>
    <w:rsid w:val="00435ADF"/>
    <w:rsid w:val="00441BE6"/>
    <w:rsid w:val="004558A2"/>
    <w:rsid w:val="0046210A"/>
    <w:rsid w:val="00470AAC"/>
    <w:rsid w:val="004872B5"/>
    <w:rsid w:val="004A4DE0"/>
    <w:rsid w:val="004B4E50"/>
    <w:rsid w:val="004B4F2E"/>
    <w:rsid w:val="004C512D"/>
    <w:rsid w:val="004D034E"/>
    <w:rsid w:val="004D2F33"/>
    <w:rsid w:val="004D2FE2"/>
    <w:rsid w:val="004E180D"/>
    <w:rsid w:val="004E2073"/>
    <w:rsid w:val="004E426A"/>
    <w:rsid w:val="004F234D"/>
    <w:rsid w:val="005133B7"/>
    <w:rsid w:val="00532501"/>
    <w:rsid w:val="0053776F"/>
    <w:rsid w:val="00557470"/>
    <w:rsid w:val="00561827"/>
    <w:rsid w:val="005670D2"/>
    <w:rsid w:val="00571E5B"/>
    <w:rsid w:val="005770E9"/>
    <w:rsid w:val="0058089E"/>
    <w:rsid w:val="00591B41"/>
    <w:rsid w:val="00597D57"/>
    <w:rsid w:val="005A4C44"/>
    <w:rsid w:val="005A5F08"/>
    <w:rsid w:val="005A7A34"/>
    <w:rsid w:val="005B32C3"/>
    <w:rsid w:val="005C474D"/>
    <w:rsid w:val="005D1753"/>
    <w:rsid w:val="005E78F0"/>
    <w:rsid w:val="005E7C3C"/>
    <w:rsid w:val="00615C4C"/>
    <w:rsid w:val="00621964"/>
    <w:rsid w:val="006300EA"/>
    <w:rsid w:val="00633BD3"/>
    <w:rsid w:val="00656C9F"/>
    <w:rsid w:val="00672B00"/>
    <w:rsid w:val="0067674C"/>
    <w:rsid w:val="00677325"/>
    <w:rsid w:val="00680655"/>
    <w:rsid w:val="006818A5"/>
    <w:rsid w:val="006C78D4"/>
    <w:rsid w:val="006D0310"/>
    <w:rsid w:val="006D35C5"/>
    <w:rsid w:val="006D67BC"/>
    <w:rsid w:val="006F7DDD"/>
    <w:rsid w:val="0070282F"/>
    <w:rsid w:val="00704E53"/>
    <w:rsid w:val="00721F2B"/>
    <w:rsid w:val="00736352"/>
    <w:rsid w:val="00745E92"/>
    <w:rsid w:val="00745EA4"/>
    <w:rsid w:val="0074652E"/>
    <w:rsid w:val="00746570"/>
    <w:rsid w:val="007544FF"/>
    <w:rsid w:val="00757901"/>
    <w:rsid w:val="00757ED3"/>
    <w:rsid w:val="007651EC"/>
    <w:rsid w:val="00770AF8"/>
    <w:rsid w:val="007817BF"/>
    <w:rsid w:val="0078717E"/>
    <w:rsid w:val="00792F63"/>
    <w:rsid w:val="007A70CF"/>
    <w:rsid w:val="007B1332"/>
    <w:rsid w:val="007B24B7"/>
    <w:rsid w:val="007B3AC8"/>
    <w:rsid w:val="007B595A"/>
    <w:rsid w:val="007C0864"/>
    <w:rsid w:val="007C1CA5"/>
    <w:rsid w:val="007C2651"/>
    <w:rsid w:val="007C5A4A"/>
    <w:rsid w:val="007F4743"/>
    <w:rsid w:val="00803F50"/>
    <w:rsid w:val="008075CC"/>
    <w:rsid w:val="00810C7C"/>
    <w:rsid w:val="00812E3F"/>
    <w:rsid w:val="008206E1"/>
    <w:rsid w:val="00834265"/>
    <w:rsid w:val="0084524F"/>
    <w:rsid w:val="00855DAB"/>
    <w:rsid w:val="0086647F"/>
    <w:rsid w:val="008711EC"/>
    <w:rsid w:val="00876CA4"/>
    <w:rsid w:val="008A321C"/>
    <w:rsid w:val="008C23F7"/>
    <w:rsid w:val="008D365D"/>
    <w:rsid w:val="008D71F8"/>
    <w:rsid w:val="008E10BD"/>
    <w:rsid w:val="008E1436"/>
    <w:rsid w:val="00901480"/>
    <w:rsid w:val="009039E2"/>
    <w:rsid w:val="0090591D"/>
    <w:rsid w:val="00913C65"/>
    <w:rsid w:val="00927B63"/>
    <w:rsid w:val="00932E2A"/>
    <w:rsid w:val="00935C7A"/>
    <w:rsid w:val="00937DBD"/>
    <w:rsid w:val="00942D74"/>
    <w:rsid w:val="0095295A"/>
    <w:rsid w:val="00954238"/>
    <w:rsid w:val="009568FB"/>
    <w:rsid w:val="009767CC"/>
    <w:rsid w:val="00984C2C"/>
    <w:rsid w:val="00987B07"/>
    <w:rsid w:val="00987C1E"/>
    <w:rsid w:val="009A2CE5"/>
    <w:rsid w:val="009B2C61"/>
    <w:rsid w:val="009B4014"/>
    <w:rsid w:val="009B6517"/>
    <w:rsid w:val="009C4408"/>
    <w:rsid w:val="009D556F"/>
    <w:rsid w:val="009E168D"/>
    <w:rsid w:val="009E7C73"/>
    <w:rsid w:val="00A05C0F"/>
    <w:rsid w:val="00A13303"/>
    <w:rsid w:val="00A15290"/>
    <w:rsid w:val="00A3722A"/>
    <w:rsid w:val="00A52375"/>
    <w:rsid w:val="00A54ECC"/>
    <w:rsid w:val="00A56055"/>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05E8D"/>
    <w:rsid w:val="00B458E7"/>
    <w:rsid w:val="00B56885"/>
    <w:rsid w:val="00B62CDD"/>
    <w:rsid w:val="00B6514D"/>
    <w:rsid w:val="00B71C66"/>
    <w:rsid w:val="00B80253"/>
    <w:rsid w:val="00B948CB"/>
    <w:rsid w:val="00BA22E4"/>
    <w:rsid w:val="00BA3F9F"/>
    <w:rsid w:val="00BA6E95"/>
    <w:rsid w:val="00BB6974"/>
    <w:rsid w:val="00BC3504"/>
    <w:rsid w:val="00BE3B9E"/>
    <w:rsid w:val="00BE7D67"/>
    <w:rsid w:val="00BF08CF"/>
    <w:rsid w:val="00BF58C9"/>
    <w:rsid w:val="00C066EB"/>
    <w:rsid w:val="00C071B8"/>
    <w:rsid w:val="00C25215"/>
    <w:rsid w:val="00C27160"/>
    <w:rsid w:val="00C279BC"/>
    <w:rsid w:val="00C3559F"/>
    <w:rsid w:val="00C47730"/>
    <w:rsid w:val="00C66EB9"/>
    <w:rsid w:val="00C67331"/>
    <w:rsid w:val="00C866BA"/>
    <w:rsid w:val="00C90ECC"/>
    <w:rsid w:val="00C92687"/>
    <w:rsid w:val="00CA3385"/>
    <w:rsid w:val="00CA7E3F"/>
    <w:rsid w:val="00CB017F"/>
    <w:rsid w:val="00CB56A7"/>
    <w:rsid w:val="00CC0C4C"/>
    <w:rsid w:val="00CC0E62"/>
    <w:rsid w:val="00CC2A0C"/>
    <w:rsid w:val="00CC68BA"/>
    <w:rsid w:val="00CD2524"/>
    <w:rsid w:val="00CF377D"/>
    <w:rsid w:val="00D20B6C"/>
    <w:rsid w:val="00D21326"/>
    <w:rsid w:val="00D22599"/>
    <w:rsid w:val="00D23343"/>
    <w:rsid w:val="00D25D0F"/>
    <w:rsid w:val="00D43F6B"/>
    <w:rsid w:val="00D45E27"/>
    <w:rsid w:val="00D52A8C"/>
    <w:rsid w:val="00D626B6"/>
    <w:rsid w:val="00D77ABB"/>
    <w:rsid w:val="00D902A5"/>
    <w:rsid w:val="00D957F7"/>
    <w:rsid w:val="00D961BD"/>
    <w:rsid w:val="00D9623F"/>
    <w:rsid w:val="00DB3F1C"/>
    <w:rsid w:val="00DB5497"/>
    <w:rsid w:val="00DB742D"/>
    <w:rsid w:val="00DC448B"/>
    <w:rsid w:val="00DD406C"/>
    <w:rsid w:val="00DD5324"/>
    <w:rsid w:val="00DD789D"/>
    <w:rsid w:val="00DE226C"/>
    <w:rsid w:val="00DE268E"/>
    <w:rsid w:val="00DE3BB2"/>
    <w:rsid w:val="00DE70A5"/>
    <w:rsid w:val="00DF1EAA"/>
    <w:rsid w:val="00DF433F"/>
    <w:rsid w:val="00DF5835"/>
    <w:rsid w:val="00E069C8"/>
    <w:rsid w:val="00E2123D"/>
    <w:rsid w:val="00E23447"/>
    <w:rsid w:val="00E315BC"/>
    <w:rsid w:val="00E42535"/>
    <w:rsid w:val="00E46D20"/>
    <w:rsid w:val="00E525BF"/>
    <w:rsid w:val="00E52F1B"/>
    <w:rsid w:val="00E60A21"/>
    <w:rsid w:val="00E67E24"/>
    <w:rsid w:val="00E74DFB"/>
    <w:rsid w:val="00E83E09"/>
    <w:rsid w:val="00E84FC6"/>
    <w:rsid w:val="00E853A0"/>
    <w:rsid w:val="00E90B10"/>
    <w:rsid w:val="00EA50D4"/>
    <w:rsid w:val="00EA7B23"/>
    <w:rsid w:val="00EB6791"/>
    <w:rsid w:val="00EE1D2D"/>
    <w:rsid w:val="00EE2AF2"/>
    <w:rsid w:val="00F05BC2"/>
    <w:rsid w:val="00F11337"/>
    <w:rsid w:val="00F11B75"/>
    <w:rsid w:val="00F1621F"/>
    <w:rsid w:val="00F414F6"/>
    <w:rsid w:val="00F5011D"/>
    <w:rsid w:val="00FA40B6"/>
    <w:rsid w:val="00FA69F4"/>
    <w:rsid w:val="00FB30F0"/>
    <w:rsid w:val="00FC288B"/>
    <w:rsid w:val="00FD4C10"/>
    <w:rsid w:val="00FE08AB"/>
    <w:rsid w:val="00FE4A73"/>
    <w:rsid w:val="00FE530F"/>
    <w:rsid w:val="00FE61F1"/>
    <w:rsid w:val="00FE79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15:docId w15:val="{7E265FFD-B9BA-4D34-B622-44F82CB7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 w:type="paragraph" w:styleId="Header">
    <w:name w:val="header"/>
    <w:basedOn w:val="Normal"/>
    <w:link w:val="HeaderChar"/>
    <w:uiPriority w:val="99"/>
    <w:unhideWhenUsed/>
    <w:rsid w:val="002C17FE"/>
    <w:pPr>
      <w:tabs>
        <w:tab w:val="center" w:pos="4513"/>
        <w:tab w:val="right" w:pos="9026"/>
      </w:tabs>
    </w:pPr>
  </w:style>
  <w:style w:type="character" w:customStyle="1" w:styleId="HeaderChar">
    <w:name w:val="Header Char"/>
    <w:basedOn w:val="DefaultParagraphFont"/>
    <w:link w:val="Header"/>
    <w:uiPriority w:val="99"/>
    <w:rsid w:val="002C17FE"/>
    <w:rPr>
      <w:rFonts w:asciiTheme="majorHAnsi" w:hAnsiTheme="majorHAnsi"/>
    </w:rPr>
  </w:style>
  <w:style w:type="paragraph" w:styleId="Footer">
    <w:name w:val="footer"/>
    <w:basedOn w:val="Normal"/>
    <w:link w:val="FooterChar"/>
    <w:uiPriority w:val="99"/>
    <w:unhideWhenUsed/>
    <w:rsid w:val="002C17FE"/>
    <w:pPr>
      <w:tabs>
        <w:tab w:val="center" w:pos="4513"/>
        <w:tab w:val="right" w:pos="9026"/>
      </w:tabs>
    </w:pPr>
  </w:style>
  <w:style w:type="character" w:customStyle="1" w:styleId="FooterChar">
    <w:name w:val="Footer Char"/>
    <w:basedOn w:val="DefaultParagraphFont"/>
    <w:link w:val="Footer"/>
    <w:uiPriority w:val="99"/>
    <w:rsid w:val="002C17FE"/>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amanda newman</cp:lastModifiedBy>
  <cp:revision>4</cp:revision>
  <cp:lastPrinted>2017-10-11T13:18:00Z</cp:lastPrinted>
  <dcterms:created xsi:type="dcterms:W3CDTF">2017-11-08T11:23:00Z</dcterms:created>
  <dcterms:modified xsi:type="dcterms:W3CDTF">2018-04-28T13:24:00Z</dcterms:modified>
</cp:coreProperties>
</file>